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227.png" ContentType="image/png"/>
  <Override PartName="/word/media/rId36.png" ContentType="image/png"/>
  <Override PartName="/word/media/rId46.png" ContentType="image/png"/>
  <Override PartName="/word/media/rId56.png" ContentType="image/png"/>
  <Override PartName="/word/media/rId213.png" ContentType="image/png"/>
  <Override PartName="/word/media/rId209.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URL XXX Repo 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w:t>
      </w:r>
      <w:r>
        <w:t xml:space="preserve"> </w:t>
      </w:r>
      <w:r>
        <w:rPr>
          <w:b/>
          <w:bCs/>
        </w:rPr>
        <w:t xml:space="preserve">Tomasello2010origins?</w:t>
      </w:r>
      <w:r>
        <w:t xml:space="preserve">)</w:t>
      </w:r>
      <w:r>
        <w:t xml:space="preserve">. While at first lacking an understanding of the</w:t>
      </w:r>
      <w:r>
        <w:t xml:space="preserve"> </w:t>
      </w:r>
      <w:r>
        <w:t xml:space="preserve">dual nature of symbolic means of communication, they soon come to grasp</w:t>
      </w:r>
      <w:r>
        <w:t xml:space="preserve"> </w:t>
      </w:r>
      <w:r>
        <w:t xml:space="preserve">the standing-for-relationship of symbols in the third year of life. In</w:t>
      </w:r>
      <w:r>
        <w:t xml:space="preserve"> </w:t>
      </w:r>
      <w:r>
        <w:t xml:space="preserve">order to better understand this process, researchers have worked on</w:t>
      </w:r>
      <w:r>
        <w:t xml:space="preserve"> </w:t>
      </w:r>
      <w:r>
        <w:t xml:space="preserve">gesture, words, photographs, representative drawings, maps, models,</w:t>
      </w:r>
      <w:r>
        <w:t xml:space="preserve"> </w:t>
      </w:r>
      <w:r>
        <w:t xml:space="preserve">simulacra, figurines and sound symbolism</w:t>
      </w:r>
      <w:r>
        <w:t xml:space="preserve"> </w:t>
      </w:r>
      <w:r>
        <w:t xml:space="preserve">(T. 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(Judy S. 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(Judy S. 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(T. Callaghan &amp; Corbit, 2015; Judy S.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[deloache1998grasping].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(Judy S. DeLoache, Pierroutsakos, Uttal, Rosengren, &amp; Gottlieb,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(T. Callaghan, 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(Judy S. 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(T. Callaghan, 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(T. Callaghan, 2000; Judy S.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(T. 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w:t>
      </w:r>
      <w:r>
        <w:t xml:space="preserve">Goldin-Meadow and Feldman (1977)</w:t>
      </w:r>
      <w:r>
        <w:t xml:space="preserve">; ] as well as they are an interesting minimal</w:t>
      </w:r>
      <w:r>
        <w:t xml:space="preserve"> </w:t>
      </w:r>
      <w:r>
        <w:t xml:space="preserve">step towards abstraction as they are still basically iconic, yet only</w:t>
      </w:r>
      <w:r>
        <w:t xml:space="preserve"> </w:t>
      </w:r>
      <w:r>
        <w:t xml:space="preserve">showing a part or aspect of the referent. At least for basic geometrical</w:t>
      </w:r>
      <w:r>
        <w:t xml:space="preserve"> </w:t>
      </w:r>
      <w:r>
        <w:t xml:space="preserve">shapes, we know that while the production and completion of shapes in</w:t>
      </w:r>
      <w:r>
        <w:t xml:space="preserve"> </w:t>
      </w:r>
      <w:r>
        <w:t xml:space="preserve">drawing</w:t>
      </w:r>
      <w:r>
        <w:t xml:space="preserve"> </w:t>
      </w:r>
      <w:r>
        <w:t xml:space="preserve">(Cox, 2005; Dağlı &amp; Halat, 2016)</w:t>
      </w:r>
      <w:r>
        <w:t xml:space="preserve"> </w:t>
      </w:r>
      <w:r>
        <w:t xml:space="preserve">develops throughout the</w:t>
      </w:r>
      <w:r>
        <w:t xml:space="preserve"> </w:t>
      </w:r>
      <w:r>
        <w:t xml:space="preserve">preschool years, shape recognition and naming are robust in the third</w:t>
      </w:r>
      <w:r>
        <w:t xml:space="preserve"> </w:t>
      </w:r>
      <w:r>
        <w:t xml:space="preserve">and fourth 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 ability to mentally complete canonical</w:t>
      </w:r>
      <w:r>
        <w:t xml:space="preserve"> </w:t>
      </w:r>
      <w:r>
        <w:t xml:space="preserve">geometric shapes is already nascent in early infancy</w:t>
      </w:r>
      <w:r>
        <w:t xml:space="preserve"> </w:t>
      </w:r>
      <w:r>
        <w:t xml:space="preserve">(Kellman &amp; Spelke, 1983; Valenza, Leo, Gava, &amp; Simion, 2006)</w:t>
      </w:r>
      <w:r>
        <w:t xml:space="preserve">, making part-whole</w:t>
      </w:r>
      <w:r>
        <w:t xml:space="preserve"> </w:t>
      </w:r>
      <w:r>
        <w:t xml:space="preserve">relationships on the level of geometric figures an ideal target for an</w:t>
      </w:r>
      <w:r>
        <w:t xml:space="preserve"> </w:t>
      </w:r>
      <w:r>
        <w:t xml:space="preserve">investigation into slightly abstract symbol-reference relationships that</w:t>
      </w:r>
      <w:r>
        <w:t xml:space="preserve"> </w:t>
      </w:r>
      <w:r>
        <w:t xml:space="preserve">young children may be able to read at the beginning of the preschool</w:t>
      </w:r>
      <w:r>
        <w:t xml:space="preserve"> </w:t>
      </w:r>
      <w:r>
        <w:t xml:space="preserve">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 but also size</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Children are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(big), size superlatives (biggest), or quantifiers (more, most)</w:t>
      </w:r>
      <w:r>
        <w:t xml:space="preserve"> </w:t>
      </w:r>
      <w:r>
        <w:t xml:space="preserve">(Ferry et al., 2025)</w:t>
      </w:r>
      <w:r>
        <w:t xml:space="preserve">, yet young children are most accurate with bigger and</w:t>
      </w:r>
      <w:r>
        <w:t xml:space="preserve"> </w:t>
      </w:r>
      <w:r>
        <w:t xml:space="preserve">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5</w:t>
      </w:r>
      <w:r>
        <w:t xml:space="preserve"> </w:t>
      </w:r>
      <w:r>
        <w:t xml:space="preserve">(Wynn, 1990)</w:t>
      </w:r>
      <w:r>
        <w:t xml:space="preserve">. In match-to-sample tasks, children</w:t>
      </w:r>
      <w:r>
        <w:t xml:space="preserve"> </w:t>
      </w:r>
      <w:r>
        <w:t xml:space="preserve">spontaneously infer number as a basis of comparison at 48–60</w:t>
      </w:r>
      <w:r>
        <w:t xml:space="preserve"> </w:t>
      </w:r>
      <w:r>
        <w:t xml:space="preserve">months</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(T. 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a the coordination game employed</w:t>
      </w:r>
      <w:r>
        <w:t xml:space="preserve"> </w:t>
      </w:r>
      <w:r>
        <w:t xml:space="preserve">int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(Judy S. DeLoache, 2011)</w:t>
      </w:r>
      <w:r>
        <w:t xml:space="preserve">, maps</w:t>
      </w:r>
      <w:r>
        <w:t xml:space="preserve"> </w:t>
      </w:r>
      <w:r>
        <w:t xml:space="preserve">(Liben &amp; Downs, 2013)</w:t>
      </w:r>
      <w:r>
        <w:t xml:space="preserve">, and drawings</w:t>
      </w:r>
      <w:r>
        <w:t xml:space="preserve"> </w:t>
      </w:r>
      <w:r>
        <w:t xml:space="preserve">(T. 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for an illustration of the setup.</w:t>
      </w:r>
    </w:p>
    <w:p>
      <w:pPr>
        <w:pStyle w:val="CaptionedFigure"/>
      </w:pPr>
      <w:r>
        <w:drawing>
          <wp:inline>
            <wp:extent cx="5849620" cy="3870956"/>
            <wp:effectExtent b="0" l="0" r="0" t="0"/>
            <wp:docPr descr="Figure 1: Setup. Experimenters were sitting behind the children in order to not distract them while supervising data collection."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849620" cy="3870956"/>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w:t>
      </w:r>
      <w:r>
        <w:t xml:space="preserve"> </w:t>
      </w:r>
      <w:r>
        <w:t xml:space="preserve">Experimenters were sitting behind the children in order to not distract them while supervising data collection.</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w:t>
      </w:r>
      <w:r>
        <w:t xml:space="preserve"> </w:t>
      </w:r>
      <w:r>
        <w:t xml:space="preserve">Appendix B, figure</w:t>
      </w:r>
      <w:r>
        <w:t xml:space="preserve"> </w:t>
      </w:r>
      <w:r>
        <w:t xml:space="preserve">??</w:t>
      </w:r>
      <w:r>
        <w:t xml:space="preserve"> </w:t>
      </w:r>
      <w:r>
        <w:t xml:space="preserve">A). In order to</w:t>
      </w:r>
      <w:r>
        <w:t xml:space="preserve"> </w:t>
      </w:r>
      <w:r>
        <w:t xml:space="preserve">succeed during familiarization, children solely had to remember where</w:t>
      </w:r>
      <w:r>
        <w:t xml:space="preserve"> </w:t>
      </w:r>
      <w:r>
        <w:t xml:space="preserve">the item went and touch this part of the screen a few seconds later. To</w:t>
      </w:r>
      <w:r>
        <w:t xml:space="preserve"> </w:t>
      </w:r>
      <w:r>
        <w:t xml:space="preserve">ensure that children were familiar with the goal of the game and the</w:t>
      </w:r>
      <w:r>
        <w:t xml:space="preserve"> </w:t>
      </w:r>
      <w:r>
        <w:t xml:space="preserve">touch 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Appendix B, figure</w:t>
      </w:r>
      <w:r>
        <w:t xml:space="preserve"> </w:t>
      </w:r>
      <w:r>
        <w:t xml:space="preserve">??</w:t>
      </w:r>
      <w:r>
        <w:t xml:space="preserve"> </w:t>
      </w:r>
      <w:r>
        <w:t xml:space="preserve">B).</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C.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w:t>
      </w:r>
      <w:r>
        <w:t xml:space="preserve"> </w:t>
      </w:r>
      <w:r>
        <w:t xml:space="preserve">in appendix B. For each of the</w:t>
      </w:r>
      <w:r>
        <w:t xml:space="preserve"> </w:t>
      </w:r>
      <w:r>
        <w:t xml:space="preserve">conditions in the three studies below, four sets of stimuli were</w:t>
      </w:r>
      <w:r>
        <w:t xml:space="preserve"> </w:t>
      </w:r>
      <w:r>
        <w:t xml:space="preserve">designed, consisting of two blue shapes serving as target or distractor,</w:t>
      </w:r>
      <w:r>
        <w:t xml:space="preserve"> </w:t>
      </w:r>
      <w:r>
        <w:t xml:space="preserve">and two drawings that could serve as cues. Each condition covers a</w:t>
      </w:r>
      <w:r>
        <w:t xml:space="preserve"> </w:t>
      </w:r>
      <w:r>
        <w:t xml:space="preserve">particular type of symbol-referent relationship via four stimulus</w:t>
      </w:r>
      <w:r>
        <w:t xml:space="preserve"> </w:t>
      </w:r>
      <w:r>
        <w:t xml:space="preserve">versions with two variations each. For an example, consider figure</w:t>
      </w:r>
      <w:r>
        <w:t xml:space="preserve"> </w:t>
      </w:r>
      <w:r>
        <w:t xml:space="preserve">??</w:t>
      </w:r>
      <w:r>
        <w:t xml:space="preserve"> </w:t>
      </w:r>
      <w:r>
        <w:t xml:space="preserve">in appendix B. Panel (A) shows all</w:t>
      </w:r>
      <w:r>
        <w:t xml:space="preserve"> </w:t>
      </w:r>
      <w:r>
        <w:t xml:space="preserve">stimuli for the</w:t>
      </w:r>
      <w:r>
        <w:t xml:space="preserve"> </w:t>
      </w:r>
      <w:r>
        <w:rPr>
          <w:i/>
          <w:iCs/>
        </w:rPr>
        <w:t xml:space="preserve">Representation</w:t>
      </w:r>
      <w:r>
        <w:t xml:space="preserve"> </w:t>
      </w:r>
      <w:r>
        <w:t xml:space="preserve">condition. The first column exemplifies</w:t>
      </w:r>
      <w:r>
        <w:t xml:space="preserve"> </w:t>
      </w:r>
      <w:r>
        <w:t xml:space="preserve">a set of targets (a blue square and circle) and referents (outline</w:t>
      </w:r>
      <w:r>
        <w:t xml:space="preserve"> </w:t>
      </w:r>
      <w:r>
        <w:t xml:space="preserve">drawings of a square and circle). During test, participants are</w:t>
      </w:r>
      <w:r>
        <w:t xml:space="preserve"> </w:t>
      </w:r>
      <w:r>
        <w:t xml:space="preserve">presented with four test trials per condition, each composed of the</w:t>
      </w:r>
      <w:r>
        <w:t xml:space="preserve"> </w:t>
      </w:r>
      <w:r>
        <w:t xml:space="preserve">shapes of a single column. During testing, a child sees each trial</w:t>
      </w:r>
      <w:r>
        <w:t xml:space="preserve"> </w:t>
      </w:r>
      <w:r>
        <w:t xml:space="preserve">combination only once and with only one of the two possible cues. Across</w:t>
      </w:r>
      <w:r>
        <w:t xml:space="preserve"> </w:t>
      </w:r>
      <w:r>
        <w:t xml:space="preserve">children, the position (left/right) of the referent, and the identity of</w:t>
      </w:r>
      <w:r>
        <w:t xml:space="preserve"> </w:t>
      </w:r>
      <w:r>
        <w:t xml:space="preserve">the cue are counterbalanced.</w:t>
      </w:r>
    </w:p>
    <w:bookmarkEnd w:id="30"/>
    <w:bookmarkStart w:id="31" w:name="data-handling-and-analyses"/>
    <w:p>
      <w:pPr>
        <w:pStyle w:val="berschrift2"/>
      </w:pPr>
      <w:r>
        <w:t xml:space="preserve">Data Handling and Analyses</w:t>
      </w:r>
    </w:p>
    <w:p>
      <w:pPr>
        <w:pStyle w:val="FirstParagraph"/>
      </w:pPr>
      <w:r>
        <w:rPr>
          <w:i/>
          <w:iCs/>
        </w:rPr>
        <w:t xml:space="preserve">Symbolic development has been documented to undergo rapid transition</w:t>
      </w:r>
      <w:r>
        <w:rPr>
          <w:i/>
          <w:iCs/>
        </w:rPr>
        <w:t xml:space="preserve"> </w:t>
      </w:r>
      <w:r>
        <w:rPr>
          <w:i/>
          <w:iCs/>
        </w:rPr>
        <w:t xml:space="preserve">within three to six months intervals</w:t>
      </w:r>
      <w:r>
        <w:rPr>
          <w:i/>
          <w:iCs/>
        </w:rPr>
        <w:t xml:space="preserve"> </w:t>
      </w:r>
      <w:r>
        <w:rPr>
          <w:i/>
          <w:iCs/>
        </w:rPr>
        <w:t xml:space="preserve">(T. Callaghan &amp; Corbit, 2015; Judy S. DeLoache, 2011; Tomasello et al., 1999)</w:t>
      </w:r>
      <w:r>
        <w:rPr>
          <w:i/>
          <w:iCs/>
        </w:rPr>
        <w:t xml:space="preserve">. Despite this, researchers</w:t>
      </w:r>
      <w:r>
        <w:rPr>
          <w:i/>
          <w:iCs/>
        </w:rPr>
        <w:t xml:space="preserve"> </w:t>
      </w:r>
      <w:r>
        <w:rPr>
          <w:i/>
          <w:iCs/>
        </w:rPr>
        <w:t xml:space="preserve">mostly bin subjects by years of age and, thereby, lose information</w:t>
      </w:r>
      <w:r>
        <w:rPr>
          <w:i/>
          <w:iCs/>
        </w:rPr>
        <w:t xml:space="preserve"> </w:t>
      </w:r>
      <w:r>
        <w:rPr>
          <w:i/>
          <w:iCs/>
        </w:rPr>
        <w:t xml:space="preserve">(Cohen, 1983; Maxwell &amp; Delaney, 1993)</w:t>
      </w:r>
      <w:r>
        <w:rPr>
          <w:i/>
          <w:iCs/>
        </w:rPr>
        <w:t xml:space="preserve">. The studies presented below use</w:t>
      </w:r>
      <w:r>
        <w:rPr>
          <w:i/>
          <w:iCs/>
        </w:rPr>
        <w:t xml:space="preserve"> </w:t>
      </w:r>
      <w:r>
        <w:rPr>
          <w:i/>
          <w:iCs/>
        </w:rPr>
        <w:t xml:space="preserve">children’s age in months as a continuous variable. To draw inferences,</w:t>
      </w:r>
      <w:r>
        <w:rPr>
          <w:i/>
          <w:iCs/>
        </w:rPr>
        <w:t xml:space="preserve"> </w:t>
      </w:r>
      <w:r>
        <w:rPr>
          <w:i/>
          <w:iCs/>
        </w:rPr>
        <w:t xml:space="preserve">we followed the approach of House and colleagues</w:t>
      </w:r>
      <w:r>
        <w:rPr>
          <w:i/>
          <w:iCs/>
        </w:rPr>
        <w:t xml:space="preserve"> </w:t>
      </w:r>
      <w:r>
        <w:rPr>
          <w:i/>
          <w:iCs/>
        </w:rPr>
        <w:t xml:space="preserve">(House, 2017; House et al., 2013)</w:t>
      </w:r>
      <w:r>
        <w:rPr>
          <w:i/>
          <w:iCs/>
        </w:rPr>
        <w:t xml:space="preserve"> </w:t>
      </w:r>
      <w:r>
        <w:rPr>
          <w:i/>
          <w:iCs/>
        </w:rPr>
        <w:t xml:space="preserve">and plotted the model estimates graphically as a</w:t>
      </w:r>
      <w:r>
        <w:rPr>
          <w:i/>
          <w:iCs/>
        </w:rPr>
        <w:t xml:space="preserve"> </w:t>
      </w:r>
      <w:r>
        <w:rPr>
          <w:i/>
          <w:iCs/>
        </w:rPr>
        <w:t xml:space="preserve">smoothed curve surrounded by the respective confidence intervals.</w:t>
      </w:r>
    </w:p>
    <w:p>
      <w:pPr>
        <w:pStyle w:val="Textkrper"/>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 To answer</w:t>
      </w:r>
      <w:r>
        <w:t xml:space="preserve"> </w:t>
      </w:r>
      <w:r>
        <w:t xml:space="preserve">the main research question of when children as a group systematically</w:t>
      </w:r>
      <w:r>
        <w:t xml:space="preserve"> </w:t>
      </w:r>
      <w:r>
        <w:t xml:space="preserve">make correct choices in any of the conditions outlined below, we use</w:t>
      </w:r>
      <w:r>
        <w:t xml:space="preserve"> </w:t>
      </w:r>
      <w:r>
        <w:t xml:space="preserve">fitted models to predict the developmental trajectory (with 95% CrI) of</w:t>
      </w:r>
      <w:r>
        <w:t xml:space="preserve"> </w:t>
      </w:r>
      <w:r>
        <w:t xml:space="preserve">group level performance drawn from values of the posterior predicted</w:t>
      </w:r>
      <w:r>
        <w:t xml:space="preserve"> </w:t>
      </w:r>
      <w:r>
        <w:t xml:space="preserve">distribution via the function</w:t>
      </w:r>
      <w:r>
        <w:t xml:space="preserve"> </w:t>
      </w:r>
      <w:r>
        <w:rPr>
          <w:i/>
          <w:iCs/>
        </w:rPr>
        <w:t xml:space="preserve">fitted</w:t>
      </w:r>
      <w:r>
        <w:t xml:space="preserve">. These trajectories and CrIs were</w:t>
      </w:r>
      <w:r>
        <w:t xml:space="preserve"> </w:t>
      </w:r>
      <w:r>
        <w:t xml:space="preserve">plotted by age. The criterion for settling when children performed above</w:t>
      </w:r>
      <w:r>
        <w:t xml:space="preserve"> </w:t>
      </w:r>
      <w:r>
        <w:t xml:space="preserve">chance was the point at which the lower bound of the 95% CrI for a</w:t>
      </w:r>
      <w:r>
        <w:t xml:space="preserve"> </w:t>
      </w:r>
      <w:r>
        <w:t xml:space="preserve">particular trajectory did no longer overlap with a mid-line demarcating</w:t>
      </w:r>
      <w:r>
        <w:t xml:space="preserve"> </w:t>
      </w:r>
      <w:r>
        <w:t xml:space="preserve">the 50% chance level. All analyses were preregistered prior to data</w:t>
      </w:r>
      <w:r>
        <w:t xml:space="preserve"> </w:t>
      </w:r>
      <w:r>
        <w:t xml:space="preserve">collection. Analyses deviate from the preregistered analyses when</w:t>
      </w:r>
      <w:r>
        <w:t xml:space="preserve"> </w:t>
      </w:r>
      <w:r>
        <w:t xml:space="preserve">comparing models via ELPD differences</w:t>
      </w:r>
      <w:r>
        <w:t xml:space="preserve"> </w:t>
      </w:r>
      <w:r>
        <w:t xml:space="preserve">(Sivula, Magnusson, Matamoros, &amp; Vehtari, 2020)</w:t>
      </w:r>
      <w:r>
        <w:t xml:space="preserve">. This was</w:t>
      </w:r>
      <w:r>
        <w:t xml:space="preserve"> </w:t>
      </w:r>
      <w:r>
        <w:t xml:space="preserve">simply not as common by the time of preregistration. For the convenience</w:t>
      </w:r>
      <w:r>
        <w:t xml:space="preserve"> </w:t>
      </w:r>
      <w:r>
        <w:t xml:space="preserve">of the reader, we also provide conventional analyses binning</w:t>
      </w:r>
      <w:r>
        <w:t xml:space="preserve"> </w:t>
      </w:r>
      <w:r>
        <w:t xml:space="preserve">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C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w:t>
      </w:r>
      <w:r>
        <w:t xml:space="preserve">, top rows in panels A-B; appendix B).</w:t>
      </w:r>
      <w:r>
        <w:t xml:space="preserve"> </w:t>
      </w:r>
      <w:r>
        <w:t xml:space="preserve">In addition the two referents within a trial can be seen as the round</w:t>
      </w:r>
      <w:r>
        <w:t xml:space="preserve"> </w:t>
      </w:r>
      <w:r>
        <w:t xml:space="preserve">and square equivalents of each other which makes their overall</w:t>
      </w:r>
      <w:r>
        <w:t xml:space="preserve"> </w:t>
      </w:r>
      <w:r>
        <w:t xml:space="preserve">appearance even more similar and aids matching the surface they cover.</w:t>
      </w:r>
      <w:r>
        <w:t xml:space="preserve"> </w:t>
      </w:r>
      <w:r>
        <w:t xml:space="preserve">For the condition</w:t>
      </w:r>
      <w:r>
        <w:t xml:space="preserve"> </w:t>
      </w:r>
      <w:r>
        <w:rPr>
          <w:i/>
          <w:iCs/>
        </w:rPr>
        <w:t xml:space="preserve">Representation,</w:t>
      </w:r>
      <w:r>
        <w:t xml:space="preserve"> </w:t>
      </w:r>
      <w:r>
        <w:t xml:space="preserve">the graphical cue is a direct</w:t>
      </w:r>
      <w:r>
        <w:t xml:space="preserve"> </w:t>
      </w:r>
      <w:r>
        <w:t xml:space="preserve">representation, that is an outline drawing, of the referent. The second</w:t>
      </w:r>
      <w:r>
        <w:t xml:space="preserve"> </w:t>
      </w:r>
      <w:r>
        <w:t xml:space="preserve">condition,</w:t>
      </w:r>
      <w:r>
        <w:t xml:space="preserve"> </w:t>
      </w:r>
      <w:r>
        <w:rPr>
          <w:i/>
          <w:iCs/>
        </w:rPr>
        <w:t xml:space="preserve">Pars Pro Toto,</w:t>
      </w:r>
      <w:r>
        <w:t xml:space="preserve"> </w:t>
      </w:r>
      <w:r>
        <w:t xml:space="preserve">refers to the targets by means of a</w:t>
      </w:r>
      <w:r>
        <w:t xml:space="preserve"> </w:t>
      </w:r>
      <w:r>
        <w:t xml:space="preserve">part-whole relationship. This is still in principle representational but</w:t>
      </w:r>
      <w:r>
        <w:t xml:space="preserve"> </w:t>
      </w:r>
      <w:r>
        <w:t xml:space="preserve">provides less information and may require children to complete the</w:t>
      </w:r>
      <w:r>
        <w:t xml:space="preserve"> </w:t>
      </w:r>
      <w:r>
        <w:t xml:space="preserve">shapes according to gestalt principles. While this completion is easiest</w:t>
      </w:r>
      <w:r>
        <w:t xml:space="preserve"> </w:t>
      </w:r>
      <w:r>
        <w:t xml:space="preserve">in the first column in panels A to B (ibid.) due to the canonical shapes</w:t>
      </w:r>
      <w:r>
        <w:t xml:space="preserve"> </w:t>
      </w:r>
      <w:r>
        <w:t xml:space="preserve">(square, circle) it is less obvious in columns 2 to 4 (ibid.) with the</w:t>
      </w:r>
      <w:r>
        <w:t xml:space="preserve"> </w:t>
      </w:r>
      <w:r>
        <w:t xml:space="preserve">less canonical shapes albeit they are vertically and horizontally</w:t>
      </w:r>
      <w:r>
        <w:t xml:space="preserve"> </w:t>
      </w:r>
      <w:r>
        <w:t xml:space="preserve">symmetrical on purpose. For comparability,</w:t>
      </w:r>
      <w:r>
        <w:t xml:space="preserve"> </w:t>
      </w:r>
      <w:r>
        <w:rPr>
          <w:i/>
          <w:iCs/>
        </w:rPr>
        <w:t xml:space="preserve">Pars Pro Toto</w:t>
      </w:r>
      <w:r>
        <w:t xml:space="preserve"> </w:t>
      </w:r>
      <w:r>
        <w:t xml:space="preserve">uses the same</w:t>
      </w:r>
      <w:r>
        <w:t xml:space="preserve"> </w:t>
      </w:r>
      <w:r>
        <w:t xml:space="preserve">graphical cues as</w:t>
      </w:r>
      <w:r>
        <w:t xml:space="preserve"> </w:t>
      </w:r>
      <w:r>
        <w:rPr>
          <w:i/>
          <w:iCs/>
        </w:rPr>
        <w:t xml:space="preserve">Representation</w:t>
      </w:r>
      <w:r>
        <w:t xml:space="preserve"> </w:t>
      </w:r>
      <w:r>
        <w:t xml:space="preserve">but cut in half at a horizontal</w:t>
      </w:r>
      <w:r>
        <w:t xml:space="preserve"> </w:t>
      </w:r>
      <w:r>
        <w:t xml:space="preserve">mid-line. A Stimulus set of an individual trial either uses the top or</w:t>
      </w:r>
      <w:r>
        <w:t xml:space="preserve"> </w:t>
      </w:r>
      <w:r>
        <w:t xml:space="preserve">bottom half, but both variations are counterbalanced across trials.</w:t>
      </w:r>
      <w:r>
        <w:t xml:space="preserve"> </w:t>
      </w:r>
      <w:r>
        <w:t xml:space="preserve">Stimulus variations with a division at the vertical axis were avoided as</w:t>
      </w:r>
      <w:r>
        <w:t xml:space="preserve"> </w:t>
      </w:r>
      <w:r>
        <w:t xml:space="preserve">such cues are likely to have been read as arrows by children of the age</w:t>
      </w:r>
      <w:r>
        <w:t xml:space="preserve"> </w:t>
      </w:r>
      <w:r>
        <w:t xml:space="preserve">that were tested here</w:t>
      </w:r>
      <w:r>
        <w:t xml:space="preserve"> </w:t>
      </w:r>
      <w:r>
        <w:t xml:space="preserve">(Kachel, Bohn, O’Madagain, &amp; Haun, in prep.)</w:t>
      </w:r>
      <w:r>
        <w:t xml:space="preserve">. Two further conditions</w:t>
      </w:r>
      <w:r>
        <w:t xml:space="preserve"> </w:t>
      </w:r>
      <w:r>
        <w:t xml:space="preserve">aimed to abstract from the original representational symbol-referent</w:t>
      </w:r>
      <w:r>
        <w:t xml:space="preserve"> </w:t>
      </w:r>
      <w:r>
        <w:t xml:space="preserve">relationship by providing graphical analogies in form. In both</w:t>
      </w:r>
      <w:r>
        <w:t xml:space="preserve"> </w:t>
      </w:r>
      <w:r>
        <w:rPr>
          <w:i/>
          <w:iCs/>
        </w:rPr>
        <w:t xml:space="preserve">Simple</w:t>
      </w:r>
      <w:r>
        <w:rPr>
          <w:i/>
          <w:iCs/>
        </w:rPr>
        <w:t xml:space="preserve"> </w:t>
      </w:r>
      <w:r>
        <w:rPr>
          <w:i/>
          <w:iCs/>
        </w:rPr>
        <w:t xml:space="preserve">Form Analogy</w:t>
      </w:r>
      <w:r>
        <w:t xml:space="preserve"> </w:t>
      </w:r>
      <w:r>
        <w:t xml:space="preserve">and</w:t>
      </w:r>
      <w:r>
        <w:t xml:space="preserve"> </w:t>
      </w:r>
      <w:r>
        <w:rPr>
          <w:i/>
          <w:iCs/>
        </w:rPr>
        <w:t xml:space="preserve">Complex Form Analogy</w:t>
      </w:r>
      <w:r>
        <w:t xml:space="preserve"> </w:t>
      </w:r>
      <w:r>
        <w:t xml:space="preserve">the cue was an abstract line</w:t>
      </w:r>
      <w:r>
        <w:t xml:space="preserve"> </w:t>
      </w:r>
      <w:r>
        <w:t xml:space="preserve">drawing being more round or rectangular, thereby referring to either the</w:t>
      </w:r>
      <w:r>
        <w:t xml:space="preserve"> </w:t>
      </w:r>
      <w:r>
        <w:t xml:space="preserve">round or rectangular equivalent of the target shapes. As this has not</w:t>
      </w:r>
      <w:r>
        <w:t xml:space="preserve"> </w:t>
      </w:r>
      <w:r>
        <w:t xml:space="preserve">been done before in developmental research, our aim was to provide two</w:t>
      </w:r>
      <w:r>
        <w:t xml:space="preserve"> </w:t>
      </w:r>
      <w:r>
        <w:t xml:space="preserve">versions of form analogies both supporting children’s comprehension in</w:t>
      </w:r>
      <w:r>
        <w:t xml:space="preserve"> </w:t>
      </w:r>
      <w:r>
        <w:t xml:space="preserve">distinct ways. In</w:t>
      </w:r>
      <w:r>
        <w:t xml:space="preserve"> </w:t>
      </w:r>
      <w:r>
        <w:rPr>
          <w:i/>
          <w:iCs/>
        </w:rPr>
        <w:t xml:space="preserve">Simple Form Analogy</w:t>
      </w:r>
      <w:r>
        <w:t xml:space="preserve">, the cues are less dense and</w:t>
      </w:r>
      <w:r>
        <w:t xml:space="preserve"> </w:t>
      </w:r>
      <w:r>
        <w:t xml:space="preserve">therefore more simple to grasp, whereas the more complex versions in</w:t>
      </w:r>
      <w:r>
        <w:t xml:space="preserve"> </w:t>
      </w:r>
      <w:r>
        <w:rPr>
          <w:i/>
          <w:iCs/>
        </w:rPr>
        <w:t xml:space="preserve">Complex Form Analogy</w:t>
      </w:r>
      <w:r>
        <w:t xml:space="preserve"> </w:t>
      </w:r>
      <w:r>
        <w:t xml:space="preserve">provide more information. Arguably either</w:t>
      </w:r>
      <w:r>
        <w:t xml:space="preserve"> </w:t>
      </w:r>
      <w:r>
        <w:t xml:space="preserve">variation may support feature extraction. As before, the cues in both</w:t>
      </w:r>
      <w:r>
        <w:t xml:space="preserve"> </w:t>
      </w:r>
      <w:r>
        <w:t xml:space="preserve">conditions are direct equivalents with either round or edgy drawing line</w:t>
      </w:r>
      <w:r>
        <w:t xml:space="preserve"> </w:t>
      </w:r>
      <w:r>
        <w:t xml:space="preserve">progressions. For an overview of all stimuli in Study 1, see figure</w:t>
      </w:r>
      <w:r>
        <w:t xml:space="preserve"> </w:t>
      </w:r>
      <w:r>
        <w:t xml:space="preserve">??</w:t>
      </w:r>
      <w:r>
        <w:t xml:space="preserve"> </w:t>
      </w:r>
      <w:r>
        <w:t xml:space="preserve">in appendix 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however is numerically</w:t>
      </w:r>
      <w:r>
        <w:t xml:space="preserve"> </w:t>
      </w:r>
      <w:r>
        <w:t xml:space="preserve">larger than the difference itself (ELPD diff =</w:t>
      </w:r>
      <w:r>
        <w:t xml:space="preserve"> </w:t>
      </w:r>
      <w:r>
        <w:t xml:space="preserve">-2.38)</w:t>
      </w:r>
      <w:r>
        <w:t xml:space="preserve"> </w:t>
      </w:r>
      <w:r>
        <w:rPr>
          <w:b/>
          <w:bCs/>
        </w:rPr>
        <w:t xml:space="preserve">[MB: hier hattest du</w:t>
      </w:r>
      <w:r>
        <w:rPr>
          <w:b/>
          <w:bCs/>
        </w:rPr>
        <w:t xml:space="preserve"> </w:t>
      </w:r>
      <w:r>
        <w:rPr>
          <w:b/>
          <w:bCs/>
        </w:rPr>
        <w:t xml:space="preserve">“</w:t>
      </w:r>
      <w:r>
        <w:rPr>
          <w:b/>
          <w:bCs/>
        </w:rPr>
        <w:t xml:space="preserve">lower</w:t>
      </w:r>
      <w:r>
        <w:rPr>
          <w:b/>
          <w:bCs/>
        </w:rPr>
        <w:t xml:space="preserve">”</w:t>
      </w:r>
      <w:r>
        <w:rPr>
          <w:b/>
          <w:bCs/>
        </w:rPr>
        <w:t xml:space="preserve"> </w:t>
      </w:r>
      <w:r>
        <w:rPr>
          <w:b/>
          <w:bCs/>
        </w:rPr>
        <w:t xml:space="preserve">geschrieben. die rule of thumb wäre aber dass der diff 2*mal</w:t>
      </w:r>
      <w:r>
        <w:rPr>
          <w:b/>
          <w:bCs/>
        </w:rPr>
        <w:t xml:space="preserve"> </w:t>
      </w:r>
      <w:r>
        <w:rPr>
          <w:b/>
          <w:bCs/>
        </w:rPr>
        <w:t xml:space="preserve">größer sein sollte als der SE].</w:t>
      </w:r>
      <w:r>
        <w:t xml:space="preserve"> </w:t>
      </w:r>
      <w:r>
        <w:t xml:space="preserve">While the full model slightly exceeds</w:t>
      </w:r>
      <w:r>
        <w:t xml:space="preserve"> </w:t>
      </w:r>
      <w:r>
        <w:t xml:space="preserve">in predictive power, evidence in favor of this model is not decisive. A</w:t>
      </w:r>
      <w:r>
        <w:t xml:space="preserve"> </w:t>
      </w:r>
      <w:r>
        <w:t xml:space="preserve">similar comparison via Leave-One-Out Cross-Validation (LOO) provided</w:t>
      </w:r>
      <w:r>
        <w:t xml:space="preserve"> </w:t>
      </w:r>
      <w:r>
        <w:t xml:space="preserve">essentially the same results. In absence of conclusive evidence for</w:t>
      </w:r>
      <w:r>
        <w:t xml:space="preserve"> </w:t>
      </w:r>
      <w:r>
        <w:t xml:space="preserve">either model, we report the results for the full model in line with the</w:t>
      </w:r>
      <w:r>
        <w:t xml:space="preserve"> </w:t>
      </w:r>
      <w:r>
        <w:t xml:space="preserve">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terms between age</w:t>
      </w:r>
      <w:r>
        <w:t xml:space="preserve"> </w:t>
      </w:r>
      <w:r>
        <w:t xml:space="preserve">and condition were not reliably different from zero. The developmental</w:t>
      </w:r>
      <w:r>
        <w:t xml:space="preserve"> </w:t>
      </w:r>
      <w:r>
        <w:t xml:space="preserve">curves for each condition have essentially similar trajectories.</w:t>
      </w:r>
      <w:r>
        <w:t xml:space="preserve"> </w:t>
      </w:r>
      <w:r>
        <w:t xml:space="preserve">Interaction effects with age were not relevant with the exception of</w:t>
      </w:r>
      <w:r>
        <w:t xml:space="preserve"> </w:t>
      </w:r>
      <w:r>
        <w:rPr>
          <w:i/>
          <w:iCs/>
        </w:rPr>
        <w:t xml:space="preserve">Pars Pro Toto</w:t>
      </w:r>
      <w:r>
        <w:t xml:space="preserve"> </w:t>
      </w:r>
      <w:r>
        <w:rPr>
          <w:b/>
          <w:bCs/>
        </w:rPr>
        <w:t xml:space="preserve">[MB: das ist verwirrend, erst sagst du sie sind nicht</w:t>
      </w:r>
      <w:r>
        <w:rPr>
          <w:b/>
          <w:bCs/>
        </w:rPr>
        <w:t xml:space="preserve"> </w:t>
      </w:r>
      <w:r>
        <w:rPr>
          <w:b/>
          <w:bCs/>
        </w:rPr>
        <w:t xml:space="preserve">reelvant und dann sagst du doch für eine Bedingung].</w:t>
      </w:r>
      <w:r>
        <w:t xml:space="preserve"> </w:t>
      </w:r>
      <w:r>
        <w:t xml:space="preserve">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C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969000" cy="3613515"/>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969000" cy="3613515"/>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(T. Callaghan, 1999, 2000; Judy S.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Bohn, et al., in prep.)</w:t>
      </w:r>
      <w:r>
        <w:t xml:space="preserve">. For an overview of all stimuli per condition in</w:t>
      </w:r>
      <w:r>
        <w:t xml:space="preserve"> </w:t>
      </w:r>
      <w:r>
        <w:t xml:space="preserve">Study 2, see figure</w:t>
      </w:r>
      <w:r>
        <w:t xml:space="preserve"> </w:t>
      </w:r>
      <w:r>
        <w:t xml:space="preserve">??</w:t>
      </w:r>
      <w:r>
        <w:t xml:space="preserve"> </w:t>
      </w:r>
      <w:r>
        <w:t xml:space="preserve">in appendix B.</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C. See appendix C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969000" cy="3613515"/>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969000" cy="3613515"/>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symbol-referent</w:t>
      </w:r>
      <w:r>
        <w:t xml:space="preserve"> </w:t>
      </w:r>
      <w:r>
        <w:t xml:space="preserve">relationships.</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w:t>
      </w:r>
      <w:r>
        <w:t xml:space="preserve">, A). For comparability,</w:t>
      </w:r>
      <w:r>
        <w:t xml:space="preserve"> </w:t>
      </w:r>
      <w:r>
        <w:rPr>
          <w:i/>
          <w:iCs/>
        </w:rPr>
        <w:t xml:space="preserve">Size of</w:t>
      </w:r>
      <w:r>
        <w:rPr>
          <w:i/>
          <w:iCs/>
        </w:rPr>
        <w:t xml:space="preserve"> </w:t>
      </w:r>
      <w:r>
        <w:rPr>
          <w:i/>
          <w:iCs/>
        </w:rPr>
        <w:t xml:space="preserve">Feature</w:t>
      </w:r>
      <w:r>
        <w:t xml:space="preserve"> </w:t>
      </w:r>
      <w:r>
        <w:t xml:space="preserve">employs the exact same cues as</w:t>
      </w:r>
      <w:r>
        <w:t xml:space="preserve"> </w:t>
      </w:r>
      <w:r>
        <w:rPr>
          <w:i/>
          <w:iCs/>
        </w:rPr>
        <w:t xml:space="preserve">Size of Object</w:t>
      </w:r>
      <w:r>
        <w:t xml:space="preserve">, but features</w:t>
      </w:r>
      <w:r>
        <w:t xml:space="preserve"> </w:t>
      </w:r>
      <w:r>
        <w:t xml:space="preserve">target shapes with either a relatively large or small void, opening, or</w:t>
      </w:r>
      <w:r>
        <w:t xml:space="preserve"> </w:t>
      </w:r>
      <w:r>
        <w:t xml:space="preserve">protrusion. In</w:t>
      </w:r>
      <w:r>
        <w:t xml:space="preserve"> </w:t>
      </w:r>
      <w:r>
        <w:rPr>
          <w:i/>
          <w:iCs/>
        </w:rPr>
        <w:t xml:space="preserve">Number of Object</w:t>
      </w:r>
      <w:r>
        <w:t xml:space="preserve">, cues and targets are composed of</w:t>
      </w:r>
      <w:r>
        <w:t xml:space="preserve"> </w:t>
      </w:r>
      <w:r>
        <w:t xml:space="preserve">different shapes with some being simple line drawings. The displayed</w:t>
      </w:r>
      <w:r>
        <w:t xml:space="preserve"> </w:t>
      </w:r>
      <w:r>
        <w:t xml:space="preserve">quantities were 1 versus 3, and 2 versus 4. Already in infancy children</w:t>
      </w:r>
      <w:r>
        <w:t xml:space="preserve"> </w:t>
      </w:r>
      <w:r>
        <w:t xml:space="preserve">can discriminate 1 versus 3</w:t>
      </w:r>
      <w:r>
        <w:t xml:space="preserve"> </w:t>
      </w:r>
      <w:r>
        <w:t xml:space="preserve">(Feigenson, Carey, &amp; Hauser, 2002)</w:t>
      </w:r>
      <w:r>
        <w:t xml:space="preserve">. Three- and</w:t>
      </w:r>
      <w:r>
        <w:t xml:space="preserve"> </w:t>
      </w:r>
      <w:r>
        <w:t xml:space="preserve">four-year-olds can reliably distinguish these magnitudes explicitly and</w:t>
      </w:r>
      <w:r>
        <w:t xml:space="preserve"> </w:t>
      </w:r>
      <w:r>
        <w:t xml:space="preserve">implicitly without counting</w:t>
      </w:r>
      <w:r>
        <w:t xml:space="preserve"> </w:t>
      </w:r>
      <w:r>
        <w:t xml:space="preserve">(Halberda &amp; Feigenson, 2008; Huntley-Fenner &amp; Cannon, 2000; Mix, Huttenlocher, &amp; Levine, 2002)</w:t>
      </w:r>
      <w:r>
        <w:t xml:space="preserve">. Special attention</w:t>
      </w:r>
      <w:r>
        <w:t xml:space="preserve"> </w:t>
      </w:r>
      <w:r>
        <w:t xml:space="preserve">was paid to the arrangement of the objects to ensure that the cue and</w:t>
      </w:r>
      <w:r>
        <w:t xml:space="preserve"> </w:t>
      </w:r>
      <w:r>
        <w:t xml:space="preserve">target objects do not share visually similarity by forming a similar</w:t>
      </w:r>
      <w:r>
        <w:t xml:space="preserve"> </w:t>
      </w:r>
      <w:r>
        <w:t xml:space="preserve">pattern, which is difficult as such small number arrays lend themselves</w:t>
      </w:r>
      <w:r>
        <w:t xml:space="preserve"> </w:t>
      </w:r>
      <w:r>
        <w:t xml:space="preserve">to being grouped into canonical shapes by Gestalt principles such as</w:t>
      </w:r>
      <w:r>
        <w:t xml:space="preserve"> </w:t>
      </w:r>
      <w:r>
        <w:t xml:space="preserve">proximity and closure. This issue was addressed by presenting the</w:t>
      </w:r>
      <w:r>
        <w:t xml:space="preserve"> </w:t>
      </w:r>
      <w:r>
        <w:t xml:space="preserve">targets depicting the magnitudes three and four as if outlining</w:t>
      </w:r>
      <w:r>
        <w:t xml:space="preserve"> </w:t>
      </w:r>
      <w:r>
        <w:t xml:space="preserve">irregular shapes. By contrast, the corresponding cues were aligned along</w:t>
      </w:r>
      <w:r>
        <w:t xml:space="preserve"> </w:t>
      </w:r>
      <w:r>
        <w:t xml:space="preserve">a vertical of horizontal axis. For comparability,</w:t>
      </w:r>
      <w:r>
        <w:t xml:space="preserve"> </w:t>
      </w:r>
      <w:r>
        <w:rPr>
          <w:i/>
          <w:iCs/>
        </w:rPr>
        <w:t xml:space="preserve">Number of Feature</w:t>
      </w:r>
      <w:r>
        <w:t xml:space="preserve"> </w:t>
      </w:r>
      <w:r>
        <w:t xml:space="preserve">employs the same cues as</w:t>
      </w:r>
      <w:r>
        <w:t xml:space="preserve"> </w:t>
      </w:r>
      <w:r>
        <w:rPr>
          <w:i/>
          <w:iCs/>
        </w:rPr>
        <w:t xml:space="preserve">Number of Object</w:t>
      </w:r>
      <w:r>
        <w:t xml:space="preserve">. To evoke a sense of</w:t>
      </w:r>
      <w:r>
        <w:t xml:space="preserve"> </w:t>
      </w:r>
      <w:r>
        <w:t xml:space="preserve">quantity in the closed forms serving as referents, the target shapes in</w:t>
      </w:r>
      <w:r>
        <w:t xml:space="preserve"> </w:t>
      </w:r>
      <w:r>
        <w:rPr>
          <w:i/>
          <w:iCs/>
        </w:rPr>
        <w:t xml:space="preserve">Number of Feature</w:t>
      </w:r>
      <w:r>
        <w:t xml:space="preserve"> </w:t>
      </w:r>
      <w:r>
        <w:t xml:space="preserve">either have salient protrusions, or partial areas</w:t>
      </w:r>
      <w:r>
        <w:t xml:space="preserve"> </w:t>
      </w:r>
      <w:r>
        <w:t xml:space="preserve">resulting from incisions. For an overview of all stimuli presented in</w:t>
      </w:r>
      <w:r>
        <w:t xml:space="preserve"> </w:t>
      </w:r>
      <w:r>
        <w:t xml:space="preserve">Study 3, see figure</w:t>
      </w:r>
      <w:r>
        <w:t xml:space="preserve"> </w:t>
      </w:r>
      <w:r>
        <w:t xml:space="preserve">??</w:t>
      </w:r>
      <w:r>
        <w:t xml:space="preserve"> </w:t>
      </w:r>
      <w:r>
        <w:t xml:space="preserve">in appendix B.</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and a</w:t>
      </w:r>
      <w:r>
        <w:t xml:space="preserve"> </w:t>
      </w:r>
      <w:r>
        <w:t xml:space="preserve">null model lacking the interaction of condition and age.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w:t>
      </w:r>
      <w:r>
        <w:t xml:space="preserve"> </w:t>
      </w:r>
      <w:r>
        <w:t xml:space="preserve">0.03).</w:t>
      </w:r>
      <w:r>
        <w:t xml:space="preserve"> </w:t>
      </w:r>
      <w:r>
        <w:rPr>
          <w:i/>
          <w:iCs/>
        </w:rPr>
        <w:t xml:space="preserve">Number of Object</w:t>
      </w:r>
      <w:r>
        <w:t xml:space="preserve"> </w:t>
      </w:r>
      <w:r>
        <w:t xml:space="preserve">(beta</w:t>
      </w:r>
      <w:r>
        <w:t xml:space="preserve"> </w:t>
      </w:r>
      <w:r>
        <w:t xml:space="preserve">= -0.08,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and</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-0.28)</w:t>
      </w:r>
      <w:r>
        <w:t xml:space="preserve"> </w:t>
      </w:r>
      <w:r>
        <w:rPr>
          <w:b/>
          <w:bCs/>
        </w:rPr>
        <w:t xml:space="preserve">[MB: warum kein 95%</w:t>
      </w:r>
      <w:r>
        <w:rPr>
          <w:b/>
          <w:bCs/>
        </w:rPr>
        <w:t xml:space="preserve"> </w:t>
      </w:r>
      <w:r>
        <w:rPr>
          <w:b/>
          <w:bCs/>
        </w:rPr>
        <w:t xml:space="preserve">CRI hier]</w:t>
      </w:r>
      <w:r>
        <w:t xml:space="preserve">, suggesting lower developmental gains compared to</w:t>
      </w:r>
      <w:r>
        <w:t xml:space="preserve"> </w:t>
      </w:r>
      <w:r>
        <w:rPr>
          <w:i/>
          <w:iCs/>
        </w:rPr>
        <w:t xml:space="preserve">Size of</w:t>
      </w:r>
      <w:r>
        <w:rPr>
          <w:i/>
          <w:iCs/>
        </w:rPr>
        <w:t xml:space="preserve"> </w:t>
      </w:r>
      <w:r>
        <w:rPr>
          <w:i/>
          <w:iCs/>
        </w:rPr>
        <w:t xml:space="preserve">Object</w:t>
      </w:r>
      <w:r>
        <w:t xml:space="preserve">. Generally, the conditions relying on feature-based reference</w:t>
      </w:r>
      <w:r>
        <w:t xml:space="preserve"> </w:t>
      </w:r>
      <w:r>
        <w:t xml:space="preserve">are associated with lower overall performance and weaker developmental</w:t>
      </w:r>
      <w:r>
        <w:t xml:space="preserve"> </w:t>
      </w:r>
      <w:r>
        <w:t xml:space="preserve">gains. The best overview of the relative performance across conditions</w:t>
      </w:r>
      <w:r>
        <w:t xml:space="preserve"> </w:t>
      </w:r>
      <w:r>
        <w:t xml:space="preserve">is provided by plotting the model estimates (cf. figure</w:t>
      </w:r>
      <w:r>
        <w:t xml:space="preserve"> </w:t>
      </w:r>
      <w:r>
        <w:t xml:space="preserve">4</w:t>
      </w:r>
      <w:r>
        <w:t xml:space="preserve">). Children succeed in most conditions just after</w:t>
      </w:r>
      <w:r>
        <w:t xml:space="preserve"> </w:t>
      </w:r>
      <w:r>
        <w:t xml:space="preserve">the fourth birthday. Model estimates indicate group level success in</w:t>
      </w:r>
      <w:r>
        <w:t xml:space="preserve"> </w:t>
      </w:r>
      <w:r>
        <w:rPr>
          <w:i/>
          <w:iCs/>
        </w:rPr>
        <w:t xml:space="preserve">Size of Object</w:t>
      </w:r>
      <w:r>
        <w:t xml:space="preserve"> </w:t>
      </w:r>
      <w:r>
        <w:t xml:space="preserve">at 49</w:t>
      </w:r>
      <w:r>
        <w:t xml:space="preserve"> </w:t>
      </w:r>
      <w:r>
        <w:t xml:space="preserve">months,</w:t>
      </w:r>
      <w:r>
        <w:t xml:space="preserve"> </w:t>
      </w:r>
      <w:r>
        <w:rPr>
          <w:i/>
          <w:iCs/>
        </w:rPr>
        <w:t xml:space="preserve">Number of Object</w:t>
      </w:r>
      <w:r>
        <w:t xml:space="preserve"> </w:t>
      </w:r>
      <w:r>
        <w:t xml:space="preserve">at</w:t>
      </w:r>
      <w:r>
        <w:t xml:space="preserve"> </w:t>
      </w:r>
      <w:r>
        <w:t xml:space="preserve">50 months, and</w:t>
      </w:r>
      <w:r>
        <w:t xml:space="preserve"> </w:t>
      </w:r>
      <w:r>
        <w:rPr>
          <w:i/>
          <w:iCs/>
        </w:rPr>
        <w:t xml:space="preserve">Number of</w:t>
      </w:r>
      <w:r>
        <w:rPr>
          <w:i/>
          <w:iCs/>
        </w:rPr>
        <w:t xml:space="preserve"> </w:t>
      </w:r>
      <w:r>
        <w:rPr>
          <w:i/>
          <w:iCs/>
        </w:rPr>
        <w:t xml:space="preserve">Feature</w:t>
      </w:r>
      <w:r>
        <w:t xml:space="preserve"> </w:t>
      </w:r>
      <w:r>
        <w:t xml:space="preserve">at 50 months.</w:t>
      </w:r>
      <w:r>
        <w:t xml:space="preserve"> </w:t>
      </w:r>
      <w:r>
        <w:t xml:space="preserve">The exception to this pattern is</w:t>
      </w:r>
      <w:r>
        <w:t xml:space="preserve"> </w:t>
      </w:r>
      <w:r>
        <w:rPr>
          <w:i/>
          <w:iCs/>
        </w:rPr>
        <w:t xml:space="preserve">Size of Feature</w:t>
      </w:r>
      <w:r>
        <w:t xml:space="preserve"> </w:t>
      </w:r>
      <w:r>
        <w:t xml:space="preserve">where children master</w:t>
      </w:r>
      <w:r>
        <w:t xml:space="preserve"> </w:t>
      </w:r>
      <w:r>
        <w:t xml:space="preserve">the task no sooner than 59</w:t>
      </w:r>
      <w:r>
        <w:t xml:space="preserve"> </w:t>
      </w:r>
      <w:r>
        <w:t xml:space="preserve">months of age. For an overview of model coefficients see table table</w:t>
      </w:r>
      <w:r>
        <w:t xml:space="preserve"> </w:t>
      </w:r>
      <w:r>
        <w:t xml:space="preserve">5</w:t>
      </w:r>
      <w:r>
        <w:t xml:space="preserve">, appendix C.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969000" cy="2535616"/>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plot_study3.png" id="58" name="Picture"/>
                    <pic:cNvPicPr>
                      <a:picLocks noChangeArrowheads="1" noChangeAspect="1"/>
                    </pic:cNvPicPr>
                  </pic:nvPicPr>
                  <pic:blipFill>
                    <a:blip r:embed="rId56"/>
                    <a:stretch>
                      <a:fillRect/>
                    </a:stretch>
                  </pic:blipFill>
                  <pic:spPr bwMode="auto">
                    <a:xfrm>
                      <a:off x="0" y="0"/>
                      <a:ext cx="5969000" cy="2535616"/>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 Taken together the results may better be interpreted</w:t>
      </w:r>
      <w:r>
        <w:t xml:space="preserve"> </w:t>
      </w:r>
      <w:r>
        <w:t xml:space="preserve">as further indicating that children are solving analogy-based</w:t>
      </w:r>
      <w:r>
        <w:t xml:space="preserve"> </w:t>
      </w:r>
      <w:r>
        <w:t xml:space="preserve">symbol-referent relationships just after the fourth birthday, as if -</w:t>
      </w:r>
      <w:r>
        <w:t xml:space="preserve"> </w:t>
      </w:r>
      <w:r>
        <w:t xml:space="preserve">provided that a critical level of reasoning development is attained -</w:t>
      </w:r>
      <w:r>
        <w:t xml:space="preserve"> </w:t>
      </w:r>
      <w:r>
        <w:t xml:space="preserve">children can generally dismiss surface level features and focus on</w:t>
      </w:r>
      <w:r>
        <w:t xml:space="preserve"> </w:t>
      </w:r>
      <w:r>
        <w:t xml:space="preserve">conceptional dimensions</w:t>
      </w:r>
      <w:r>
        <w:t xml:space="preserve"> </w:t>
      </w:r>
      <w:r>
        <w:t xml:space="preserve">(Gentner, 1988; Richland et al., 2006)</w:t>
      </w:r>
      <w:r>
        <w:t xml:space="preserve"> </w:t>
      </w:r>
      <w:r>
        <w:t xml:space="preserve">and flexibly employ their analogical reasoning skills in communicative</w:t>
      </w:r>
      <w:r>
        <w:t xml:space="preserve"> </w:t>
      </w:r>
      <w:r>
        <w:t xml:space="preserve">contexts regardless of the specific conceptual dimensions such as number</w:t>
      </w:r>
      <w:r>
        <w:t xml:space="preserve"> </w:t>
      </w:r>
      <w:r>
        <w:t xml:space="preserve">or size.</w:t>
      </w:r>
    </w:p>
    <w:p>
      <w:pPr>
        <w:pStyle w:val="Textkrper"/>
      </w:pPr>
      <w:r>
        <w:t xml:space="preserve">The late success at 59 months in</w:t>
      </w:r>
      <w:r>
        <w:t xml:space="preserve"> </w:t>
      </w:r>
      <w:r>
        <w:rPr>
          <w:i/>
          <w:iCs/>
        </w:rPr>
        <w:t xml:space="preserve">Size of Feature</w:t>
      </w:r>
      <w:r>
        <w:t xml:space="preserve"> </w:t>
      </w:r>
      <w:r>
        <w:t xml:space="preserve">is slightly</w:t>
      </w:r>
      <w:r>
        <w:t xml:space="preserve"> </w:t>
      </w:r>
      <w:r>
        <w:t xml:space="preserve">ambiguous.</w:t>
      </w:r>
      <w:r>
        <w:t xml:space="preserve"> </w:t>
      </w:r>
      <w:r>
        <w:rPr>
          <w:i/>
          <w:iCs/>
        </w:rPr>
        <w:t xml:space="preserve">Size of Feature</w:t>
      </w:r>
      <w:r>
        <w:t xml:space="preserve"> </w:t>
      </w:r>
      <w:r>
        <w:t xml:space="preserve">stands out as the most difficult condition</w:t>
      </w:r>
      <w:r>
        <w:t xml:space="preserve"> </w:t>
      </w:r>
      <w:r>
        <w:t xml:space="preserve">in the series of studies presented here and is definitely quite</w:t>
      </w:r>
      <w:r>
        <w:t xml:space="preserve"> </w:t>
      </w:r>
      <w:r>
        <w:t xml:space="preserve">demanding as it is a highly conceptual symbol-referent relationship and</w:t>
      </w:r>
      <w:r>
        <w:t xml:space="preserve"> </w:t>
      </w:r>
      <w:r>
        <w:t xml:space="preserve">the only condition that requires children to consider proportions within</w:t>
      </w:r>
      <w:r>
        <w:t xml:space="preserve"> </w:t>
      </w:r>
      <w:r>
        <w:t xml:space="preserve">the composition of the target stimulus. However, given that the</w:t>
      </w:r>
      <w:r>
        <w:t xml:space="preserve"> </w:t>
      </w:r>
      <w:r>
        <w:t xml:space="preserve">developmental trajectory is quite flat and the CrI comparably wide, the</w:t>
      </w:r>
      <w:r>
        <w:t xml:space="preserve"> </w:t>
      </w:r>
      <w:r>
        <w:t xml:space="preserve">operationalization or graphical implementation of the concept</w:t>
      </w:r>
      <w:r>
        <w:t xml:space="preserve"> </w:t>
      </w:r>
      <w:r>
        <w:rPr>
          <w:i/>
          <w:iCs/>
        </w:rPr>
        <w:t xml:space="preserve">Size of</w:t>
      </w:r>
      <w:r>
        <w:rPr>
          <w:i/>
          <w:iCs/>
        </w:rPr>
        <w:t xml:space="preserve"> </w:t>
      </w:r>
      <w:r>
        <w:rPr>
          <w:i/>
          <w:iCs/>
        </w:rPr>
        <w:t xml:space="preserve">Feature</w:t>
      </w:r>
      <w:r>
        <w:t xml:space="preserve"> </w:t>
      </w:r>
      <w:r>
        <w:t xml:space="preserve">may simply not have been ideal and salient enough</w:t>
      </w:r>
      <w:r>
        <w:t xml:space="preserve"> </w:t>
      </w:r>
      <w:r>
        <w:rPr>
          <w:b/>
          <w:bCs/>
        </w:rPr>
        <w:t xml:space="preserve">[MB: würde</w:t>
      </w:r>
      <w:r>
        <w:rPr>
          <w:b/>
          <w:bCs/>
        </w:rPr>
        <w:t xml:space="preserve"> </w:t>
      </w:r>
      <w:r>
        <w:rPr>
          <w:b/>
          <w:bCs/>
        </w:rPr>
        <w:t xml:space="preserve">ich vll nochmal gucken ob Du eine inhaltlicher erklärung findest - 1.</w:t>
      </w:r>
      <w:r>
        <w:rPr>
          <w:b/>
          <w:bCs/>
        </w:rPr>
        <w:t xml:space="preserve"> </w:t>
      </w:r>
      <w:r>
        <w:rPr>
          <w:b/>
          <w:bCs/>
        </w:rPr>
        <w:t xml:space="preserve">weil die Stimuli sehr sorgfältig kreiert wurden und 2. weil das alle</w:t>
      </w:r>
      <w:r>
        <w:rPr>
          <w:b/>
          <w:bCs/>
        </w:rPr>
        <w:t xml:space="preserve"> </w:t>
      </w:r>
      <w:r>
        <w:rPr>
          <w:b/>
          <w:bCs/>
        </w:rPr>
        <w:t xml:space="preserve">anderen ergebnisse auch in Frage stellt (könnte ja auch sein, dass die</w:t>
      </w:r>
      <w:r>
        <w:rPr>
          <w:b/>
          <w:bCs/>
        </w:rPr>
        <w:t xml:space="preserve"> </w:t>
      </w:r>
      <w:r>
        <w:rPr>
          <w:b/>
          <w:bCs/>
        </w:rPr>
        <w:t xml:space="preserve">stimuli eher schwer waren und wir daher alles unterschätzen).].</w:t>
      </w:r>
      <w:r>
        <w:t xml:space="preserve"> </w:t>
      </w:r>
      <w:r>
        <w:rPr>
          <w:i/>
          <w:iCs/>
        </w:rPr>
        <w:t xml:space="preserve">Size</w:t>
      </w:r>
      <w:r>
        <w:rPr>
          <w:i/>
          <w:iCs/>
        </w:rPr>
        <w:t xml:space="preserve"> </w:t>
      </w:r>
      <w:r>
        <w:rPr>
          <w:i/>
          <w:iCs/>
        </w:rPr>
        <w:t xml:space="preserve">of Object</w:t>
      </w:r>
      <w:r>
        <w:t xml:space="preserve"> </w:t>
      </w:r>
      <w:r>
        <w:t xml:space="preserve">demonstrates that children generally can grasp form analogies</w:t>
      </w:r>
      <w:r>
        <w:t xml:space="preserve"> </w:t>
      </w:r>
      <w:r>
        <w:t xml:space="preserve">earlier with the exact same cues and</w:t>
      </w:r>
      <w:r>
        <w:t xml:space="preserve"> </w:t>
      </w:r>
      <w:r>
        <w:rPr>
          <w:i/>
          <w:iCs/>
        </w:rPr>
        <w:t xml:space="preserve">Absolute Position</w:t>
      </w:r>
      <w:r>
        <w:t xml:space="preserve"> </w:t>
      </w:r>
      <w:r>
        <w:t xml:space="preserve">and</w:t>
      </w:r>
      <w:r>
        <w:t xml:space="preserve"> </w:t>
      </w:r>
      <w:r>
        <w:rPr>
          <w:i/>
          <w:iCs/>
        </w:rPr>
        <w:t xml:space="preserve">Relative</w:t>
      </w:r>
      <w:r>
        <w:rPr>
          <w:i/>
          <w:iCs/>
        </w:rPr>
        <w:t xml:space="preserve"> </w:t>
      </w:r>
      <w:r>
        <w:rPr>
          <w:i/>
          <w:iCs/>
        </w:rPr>
        <w:t xml:space="preserve">Position</w:t>
      </w:r>
      <w:r>
        <w:t xml:space="preserve"> </w:t>
      </w:r>
      <w:r>
        <w:t xml:space="preserve">from study 2 indicate that children can also master</w:t>
      </w:r>
      <w:r>
        <w:t xml:space="preserve"> </w:t>
      </w:r>
      <w:r>
        <w:t xml:space="preserve">figure-ground relationships or relational patterns in targets even prior</w:t>
      </w:r>
      <w:r>
        <w:t xml:space="preserve"> </w:t>
      </w:r>
      <w:r>
        <w:t xml:space="preserve">to the fourth birthday. It is reasonable to assume that children could</w:t>
      </w:r>
      <w:r>
        <w:t xml:space="preserve"> </w:t>
      </w:r>
      <w:r>
        <w:t xml:space="preserve">succeed slightly earlier in</w:t>
      </w:r>
      <w:r>
        <w:t xml:space="preserve"> </w:t>
      </w:r>
      <w:r>
        <w:rPr>
          <w:i/>
          <w:iCs/>
        </w:rPr>
        <w:t xml:space="preserve">Size of Feature</w:t>
      </w:r>
      <w:r>
        <w:t xml:space="preserve"> </w:t>
      </w:r>
      <w:r>
        <w:t xml:space="preserve">if the opening or bumps</w:t>
      </w:r>
      <w:r>
        <w:t xml:space="preserve"> </w:t>
      </w:r>
      <w:r>
        <w:t xml:space="preserve">representing the size relationship in the target displays would simply</w:t>
      </w:r>
      <w:r>
        <w:t xml:space="preserve"> </w:t>
      </w:r>
      <w:r>
        <w:t xml:space="preserve">be more pronounced.</w:t>
      </w:r>
    </w:p>
    <w:p>
      <w:pPr>
        <w:pStyle w:val="Textkrper"/>
      </w:pPr>
      <w:r>
        <w:rPr>
          <w:i/>
          <w:iCs/>
        </w:rPr>
        <w:t xml:space="preserve">NEW NEW NEW Out of the 12 conditions, Size of Feature posed the biggest</w:t>
      </w:r>
      <w:r>
        <w:rPr>
          <w:i/>
          <w:iCs/>
        </w:rPr>
        <w:t xml:space="preserve"> </w:t>
      </w:r>
      <w:r>
        <w:rPr>
          <w:i/>
          <w:iCs/>
        </w:rPr>
        <w:t xml:space="preserve">challenge for participants. While children generally are able to solve</w:t>
      </w:r>
      <w:r>
        <w:rPr>
          <w:i/>
          <w:iCs/>
        </w:rPr>
        <w:t xml:space="preserve"> </w:t>
      </w:r>
      <w:r>
        <w:rPr>
          <w:i/>
          <w:iCs/>
        </w:rPr>
        <w:t xml:space="preserve">this type of task by 59 months, it is striking that the same group</w:t>
      </w:r>
      <w:r>
        <w:rPr>
          <w:i/>
          <w:iCs/>
        </w:rPr>
        <w:t xml:space="preserve"> </w:t>
      </w:r>
      <w:r>
        <w:rPr>
          <w:i/>
          <w:iCs/>
        </w:rPr>
        <w:t xml:space="preserve">appears generally able to comprehend cues based on size almost then</w:t>
      </w:r>
      <w:r>
        <w:rPr>
          <w:i/>
          <w:iCs/>
        </w:rPr>
        <w:t xml:space="preserve"> </w:t>
      </w:r>
      <w:r>
        <w:rPr>
          <w:i/>
          <w:iCs/>
        </w:rPr>
        <w:t xml:space="preserve">months earlier. It is also unlikely that extracting the relevant</w:t>
      </w:r>
      <w:r>
        <w:rPr>
          <w:i/>
          <w:iCs/>
        </w:rPr>
        <w:t xml:space="preserve"> </w:t>
      </w:r>
      <w:r>
        <w:rPr>
          <w:i/>
          <w:iCs/>
        </w:rPr>
        <w:t xml:space="preserve">dimension from the target referents is per se more difficult when it</w:t>
      </w:r>
      <w:r>
        <w:rPr>
          <w:i/>
          <w:iCs/>
        </w:rPr>
        <w:t xml:space="preserve"> </w:t>
      </w:r>
      <w:r>
        <w:rPr>
          <w:i/>
          <w:iCs/>
        </w:rPr>
        <w:t xml:space="preserve">comes to its features as the feature and object versions of number are</w:t>
      </w:r>
      <w:r>
        <w:rPr>
          <w:i/>
          <w:iCs/>
        </w:rPr>
        <w:t xml:space="preserve"> </w:t>
      </w:r>
      <w:r>
        <w:rPr>
          <w:i/>
          <w:iCs/>
        </w:rPr>
        <w:t xml:space="preserve">both solved at the same time and also much earlier. The most</w:t>
      </w:r>
      <w:r>
        <w:rPr>
          <w:i/>
          <w:iCs/>
        </w:rPr>
        <w:t xml:space="preserve"> </w:t>
      </w:r>
      <w:r>
        <w:rPr>
          <w:i/>
          <w:iCs/>
        </w:rPr>
        <w:t xml:space="preserve">conservative interpretation for this outlier is that the specific</w:t>
      </w:r>
      <w:r>
        <w:rPr>
          <w:i/>
          <w:iCs/>
        </w:rPr>
        <w:t xml:space="preserve"> </w:t>
      </w:r>
      <w:r>
        <w:rPr>
          <w:i/>
          <w:iCs/>
        </w:rPr>
        <w:t xml:space="preserve">operationalization of this condition falls short of providing a graphic</w:t>
      </w:r>
      <w:r>
        <w:rPr>
          <w:i/>
          <w:iCs/>
        </w:rPr>
        <w:t xml:space="preserve"> </w:t>
      </w:r>
      <w:r>
        <w:rPr>
          <w:i/>
          <w:iCs/>
        </w:rPr>
        <w:t xml:space="preserve">implementation that was salient and accessible enough that children can</w:t>
      </w:r>
      <w:r>
        <w:rPr>
          <w:i/>
          <w:iCs/>
        </w:rPr>
        <w:t xml:space="preserve"> </w:t>
      </w:r>
      <w:r>
        <w:rPr>
          <w:i/>
          <w:iCs/>
        </w:rPr>
        <w:t xml:space="preserve">comprehend it as soon as they are ready to grasp this symbol-referent</w:t>
      </w:r>
      <w:r>
        <w:rPr>
          <w:i/>
          <w:iCs/>
        </w:rPr>
        <w:t xml:space="preserve"> </w:t>
      </w:r>
      <w:r>
        <w:rPr>
          <w:i/>
          <w:iCs/>
        </w:rPr>
        <w:t xml:space="preserve">dimension on a conceptual level. The small and large features of the</w:t>
      </w:r>
      <w:r>
        <w:rPr>
          <w:i/>
          <w:iCs/>
        </w:rPr>
        <w:t xml:space="preserve"> </w:t>
      </w:r>
      <w:r>
        <w:rPr>
          <w:i/>
          <w:iCs/>
        </w:rPr>
        <w:t xml:space="preserve">stimuli should simply have been more pronounced. Fortunately this does</w:t>
      </w:r>
      <w:r>
        <w:rPr>
          <w:i/>
          <w:iCs/>
        </w:rPr>
        <w:t xml:space="preserve"> </w:t>
      </w:r>
      <w:r>
        <w:rPr>
          <w:i/>
          <w:iCs/>
        </w:rPr>
        <w:t xml:space="preserve">not undermine the main findings of study three, namely that</w:t>
      </w:r>
      <w:r>
        <w:rPr>
          <w:i/>
          <w:iCs/>
        </w:rPr>
        <w:t xml:space="preserve"> </w:t>
      </w:r>
      <w:r>
        <w:rPr>
          <w:i/>
          <w:iCs/>
        </w:rPr>
        <w:t xml:space="preserve">symbol-referent relationships based on size and number are solved by</w:t>
      </w:r>
      <w:r>
        <w:rPr>
          <w:i/>
          <w:iCs/>
        </w:rPr>
        <w:t xml:space="preserve"> </w:t>
      </w:r>
      <w:r>
        <w:rPr>
          <w:i/>
          <w:iCs/>
        </w:rPr>
        <w:t xml:space="preserve">children just after their fourth birthday. Yet the finding for Size of</w:t>
      </w:r>
      <w:r>
        <w:rPr>
          <w:i/>
          <w:iCs/>
        </w:rPr>
        <w:t xml:space="preserve"> </w:t>
      </w:r>
      <w:r>
        <w:rPr>
          <w:i/>
          <w:iCs/>
        </w:rPr>
        <w:t xml:space="preserve">Feature raises the question of whether the stimuli used in the twelve</w:t>
      </w:r>
      <w:r>
        <w:rPr>
          <w:i/>
          <w:iCs/>
        </w:rPr>
        <w:t xml:space="preserve"> </w:t>
      </w:r>
      <w:r>
        <w:rPr>
          <w:i/>
          <w:iCs/>
        </w:rPr>
        <w:t xml:space="preserve">conditions above are prototypical and intuitive to a degree that they</w:t>
      </w:r>
      <w:r>
        <w:rPr>
          <w:i/>
          <w:iCs/>
        </w:rPr>
        <w:t xml:space="preserve"> </w:t>
      </w:r>
      <w:r>
        <w:rPr>
          <w:i/>
          <w:iCs/>
        </w:rPr>
        <w:t xml:space="preserve">can sufficiently exemplify a symbol-referent relationship to draw</w:t>
      </w:r>
      <w:r>
        <w:rPr>
          <w:i/>
          <w:iCs/>
        </w:rPr>
        <w:t xml:space="preserve"> </w:t>
      </w:r>
      <w:r>
        <w:rPr>
          <w:i/>
          <w:iCs/>
        </w:rPr>
        <w:t xml:space="preserve">developmental conclusions. In any of the conditions, could children</w:t>
      </w:r>
      <w:r>
        <w:rPr>
          <w:i/>
          <w:iCs/>
        </w:rPr>
        <w:t xml:space="preserve"> </w:t>
      </w:r>
      <w:r>
        <w:rPr>
          <w:i/>
          <w:iCs/>
        </w:rPr>
        <w:t xml:space="preserve">succeed earlier with stimuli that are more conducive to their</w:t>
      </w:r>
      <w:r>
        <w:rPr>
          <w:i/>
          <w:iCs/>
        </w:rPr>
        <w:t xml:space="preserve"> </w:t>
      </w:r>
      <w:r>
        <w:rPr>
          <w:i/>
          <w:iCs/>
        </w:rPr>
        <w:t xml:space="preserve">understanding? Our reply would be that, while this is possible, results</w:t>
      </w:r>
      <w:r>
        <w:rPr>
          <w:i/>
          <w:iCs/>
        </w:rPr>
        <w:t xml:space="preserve"> </w:t>
      </w:r>
      <w:r>
        <w:rPr>
          <w:i/>
          <w:iCs/>
        </w:rPr>
        <w:t xml:space="preserve">with other stimulus variations will still be solved at very similar</w:t>
      </w:r>
      <w:r>
        <w:rPr>
          <w:i/>
          <w:iCs/>
        </w:rPr>
        <w:t xml:space="preserve"> </w:t>
      </w:r>
      <w:r>
        <w:rPr>
          <w:i/>
          <w:iCs/>
        </w:rPr>
        <w:t xml:space="preserve">ages. More important, however, is not at what specific month or day of</w:t>
      </w:r>
      <w:r>
        <w:rPr>
          <w:i/>
          <w:iCs/>
        </w:rPr>
        <w:t xml:space="preserve"> </w:t>
      </w:r>
      <w:r>
        <w:rPr>
          <w:i/>
          <w:iCs/>
        </w:rPr>
        <w:t xml:space="preserve">age children can solve an item but their relative onset. The great</w:t>
      </w:r>
      <w:r>
        <w:rPr>
          <w:i/>
          <w:iCs/>
        </w:rPr>
        <w:t xml:space="preserve"> </w:t>
      </w:r>
      <w:r>
        <w:rPr>
          <w:i/>
          <w:iCs/>
        </w:rPr>
        <w:t xml:space="preserve">strength of the studies reported here is that they are all presented</w:t>
      </w:r>
      <w:r>
        <w:rPr>
          <w:i/>
          <w:iCs/>
        </w:rPr>
        <w:t xml:space="preserve"> </w:t>
      </w:r>
      <w:r>
        <w:rPr>
          <w:i/>
          <w:iCs/>
        </w:rPr>
        <w:t xml:space="preserve">using an extremely simple paradigm and the exact same presentation</w:t>
      </w:r>
      <w:r>
        <w:rPr>
          <w:i/>
          <w:iCs/>
        </w:rPr>
        <w:t xml:space="preserve"> </w:t>
      </w:r>
      <w:r>
        <w:rPr>
          <w:i/>
          <w:iCs/>
        </w:rPr>
        <w:t xml:space="preserve">across all studies and partially even in a within-subjects-design.</w:t>
      </w:r>
      <w:r>
        <w:rPr>
          <w:i/>
          <w:iCs/>
        </w:rPr>
        <w:t xml:space="preserve"> </w:t>
      </w:r>
      <w:r>
        <w:rPr>
          <w:i/>
          <w:iCs/>
        </w:rPr>
        <w:t xml:space="preserve">Furthermore, the conditions were carefully designed to provide the most</w:t>
      </w:r>
      <w:r>
        <w:rPr>
          <w:i/>
          <w:iCs/>
        </w:rPr>
        <w:t xml:space="preserve"> </w:t>
      </w:r>
      <w:r>
        <w:rPr>
          <w:i/>
          <w:iCs/>
        </w:rPr>
        <w:t xml:space="preserve">straightforward stimuli, as for example number only uses quantitative</w:t>
      </w:r>
      <w:r>
        <w:rPr>
          <w:i/>
          <w:iCs/>
        </w:rPr>
        <w:t xml:space="preserve"> </w:t>
      </w:r>
      <w:r>
        <w:rPr>
          <w:i/>
          <w:iCs/>
        </w:rPr>
        <w:t xml:space="preserve">differences that children can grasp immediately and early in development</w:t>
      </w:r>
      <w:r>
        <w:rPr>
          <w:i/>
          <w:iCs/>
        </w:rPr>
        <w:t xml:space="preserve"> </w:t>
      </w:r>
      <w:r>
        <w:rPr>
          <w:i/>
          <w:iCs/>
        </w:rPr>
        <w:t xml:space="preserve">(refXXX wie bei stimulus design), as were the shapes employed as</w:t>
      </w:r>
      <w:r>
        <w:rPr>
          <w:i/>
          <w:iCs/>
        </w:rPr>
        <w:t xml:space="preserve"> </w:t>
      </w:r>
      <w:r>
        <w:rPr>
          <w:i/>
          <w:iCs/>
        </w:rPr>
        <w:t xml:space="preserve">referents in study 1 (refXXX wie bei stimulus design). NEW NEW NEW</w:t>
      </w:r>
    </w:p>
    <w:bookmarkEnd w:id="61"/>
    <w:bookmarkEnd w:id="62"/>
    <w:bookmarkStart w:id="66" w:name="additional-analyses"/>
    <w:p>
      <w:pPr>
        <w:pStyle w:val="berschrift1"/>
      </w:pPr>
      <w:r>
        <w:t xml:space="preserve">Additional Analyses</w:t>
      </w:r>
    </w:p>
    <w:p>
      <w:pPr>
        <w:pStyle w:val="FirstParagraph"/>
      </w:pPr>
      <w:r>
        <w:t xml:space="preserve">In addition to our main analyses, we preregistered an additional</w:t>
      </w:r>
      <w:r>
        <w:t xml:space="preserve"> </w:t>
      </w:r>
      <w:r>
        <w:t xml:space="preserve">analyses for exploring item level effects seperately in each study. For</w:t>
      </w:r>
      <w:r>
        <w:t xml:space="preserve"> </w:t>
      </w:r>
      <w:r>
        <w:t xml:space="preserve">this we add a crossed random effect for items, allowing the relationship</w:t>
      </w:r>
      <w:r>
        <w:t xml:space="preserve"> </w:t>
      </w:r>
      <w:r>
        <w:t xml:space="preserve">between age and performance to vary across items (correct ~</w:t>
      </w:r>
      <w:r>
        <w:t xml:space="preserve"> </w:t>
      </w:r>
      <w:r>
        <w:t xml:space="preserve">condition*z.age + z.trial + sex + (z.trial | subid)). Due to the lower</w:t>
      </w:r>
      <w:r>
        <w:t xml:space="preserve"> </w:t>
      </w:r>
      <w:r>
        <w:t xml:space="preserve">number of individual items within a task, we expect this model to be</w:t>
      </w:r>
      <w:r>
        <w:t xml:space="preserve"> </w:t>
      </w:r>
      <w:r>
        <w:t xml:space="preserve">less diagnostic with regard to our main research question. However, it</w:t>
      </w:r>
      <w:r>
        <w:t xml:space="preserve"> </w:t>
      </w:r>
      <w:r>
        <w:t xml:space="preserve">adds detail about the equivalence of items within conditions.</w:t>
      </w:r>
    </w:p>
    <w:bookmarkStart w:id="63" w:name="study-1-1"/>
    <w:p>
      <w:pPr>
        <w:pStyle w:val="berschrift2"/>
      </w:pPr>
      <w:r>
        <w:t xml:space="preserve">Study 1</w:t>
      </w:r>
    </w:p>
    <w:bookmarkEnd w:id="63"/>
    <w:bookmarkStart w:id="64" w:name="study-2-1"/>
    <w:p>
      <w:pPr>
        <w:pStyle w:val="berschrift2"/>
      </w:pPr>
      <w:r>
        <w:t xml:space="preserve">Study 2</w:t>
      </w:r>
    </w:p>
    <w:bookmarkEnd w:id="64"/>
    <w:bookmarkStart w:id="65" w:name="study-3-1"/>
    <w:p>
      <w:pPr>
        <w:pStyle w:val="berschrift2"/>
      </w:pPr>
      <w:r>
        <w:t xml:space="preserve">Study 3</w:t>
      </w:r>
    </w:p>
    <w:bookmarkEnd w:id="65"/>
    <w:bookmarkEnd w:id="66"/>
    <w:bookmarkStart w:id="67"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O’Madagain, Haun, &amp; Bohn,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(T. 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(T. 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(T. Callaghan, Rochat, &amp; Corbit, 2012)</w:t>
      </w:r>
      <w:r>
        <w:t xml:space="preserve">, as well as insight into communicative intent</w:t>
      </w:r>
      <w:r>
        <w:t xml:space="preserve"> </w:t>
      </w:r>
      <w:r>
        <w:t xml:space="preserve">(T. C. 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(T. 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7"/>
    <w:bookmarkStart w:id="208" w:name="references"/>
    <w:p>
      <w:pPr>
        <w:pStyle w:val="berschrift1"/>
      </w:pPr>
      <w:r>
        <w:t xml:space="preserve">References</w:t>
      </w:r>
    </w:p>
    <w:bookmarkStart w:id="207" w:name="refs"/>
    <w:bookmarkStart w:id="68"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8"/>
    <w:bookmarkStart w:id="69"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9"/>
    <w:bookmarkStart w:id="70"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70"/>
    <w:bookmarkStart w:id="71"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71"/>
    <w:bookmarkStart w:id="72"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72"/>
    <w:bookmarkStart w:id="73"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73"/>
    <w:bookmarkStart w:id="74"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4"/>
    <w:bookmarkStart w:id="75"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5"/>
    <w:bookmarkStart w:id="76"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6"/>
    <w:bookmarkStart w:id="77"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7"/>
    <w:bookmarkStart w:id="78"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8"/>
    <w:bookmarkStart w:id="79" w:name="ref-callaghan2008children"/>
    <w:p>
      <w:pPr>
        <w:pStyle w:val="Literaturverzeichnis"/>
      </w:pPr>
      <w:r>
        <w:t xml:space="preserve">Callaghan, T. C.,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9"/>
    <w:bookmarkStart w:id="81" w:name="ref-callaghan2015development"/>
    <w:p>
      <w:pPr>
        <w:pStyle w:val="Literaturverzeichnis"/>
      </w:pPr>
      <w:r>
        <w:t xml:space="preserve">Callaghan, T., &amp; Corbit, J. (2015).</w:t>
      </w:r>
      <w:r>
        <w:t xml:space="preserve"> </w:t>
      </w:r>
      <w:r>
        <w:rPr>
          <w:i/>
          <w:iCs/>
        </w:rPr>
        <w:t xml:space="preserve">The development of symbolic representation</w:t>
      </w:r>
      <w:r>
        <w:t xml:space="preserve">.</w:t>
      </w:r>
      <w:r>
        <w:t xml:space="preserve"> </w:t>
      </w:r>
      <w:hyperlink r:id="rId80">
        <w:r>
          <w:rPr>
            <w:rStyle w:val="Hyperlink"/>
          </w:rPr>
          <w:t xml:space="preserve">https://doi.org/10.1002/9781118963418.childpsy207</w:t>
        </w:r>
      </w:hyperlink>
    </w:p>
    <w:bookmarkEnd w:id="81"/>
    <w:bookmarkStart w:id="82"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82"/>
    <w:bookmarkStart w:id="83"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83"/>
    <w:bookmarkStart w:id="84"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4"/>
    <w:bookmarkStart w:id="85"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5"/>
    <w:bookmarkStart w:id="86"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6"/>
    <w:bookmarkStart w:id="87"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7"/>
    <w:bookmarkStart w:id="89" w:name="ref-cohen1983cost"/>
    <w:p>
      <w:pPr>
        <w:pStyle w:val="Literaturverzeichnis"/>
      </w:pPr>
      <w:r>
        <w:t xml:space="preserve">Cohen, J. (1983). The cost of dichotomization.</w:t>
      </w:r>
      <w:r>
        <w:t xml:space="preserve"> </w:t>
      </w:r>
      <w:r>
        <w:rPr>
          <w:i/>
          <w:iCs/>
        </w:rPr>
        <w:t xml:space="preserve">Applied Psychological Measurement</w:t>
      </w:r>
      <w:r>
        <w:t xml:space="preserve">,</w:t>
      </w:r>
      <w:r>
        <w:t xml:space="preserve"> </w:t>
      </w:r>
      <w:r>
        <w:rPr>
          <w:i/>
          <w:iCs/>
        </w:rPr>
        <w:t xml:space="preserve">7</w:t>
      </w:r>
      <w:r>
        <w:t xml:space="preserve">(3), 249–253.</w:t>
      </w:r>
      <w:r>
        <w:t xml:space="preserve"> </w:t>
      </w:r>
      <w:hyperlink r:id="rId88">
        <w:r>
          <w:rPr>
            <w:rStyle w:val="Hyperlink"/>
          </w:rPr>
          <w:t xml:space="preserve">https://doi.org/10.1177/014662168300700301</w:t>
        </w:r>
      </w:hyperlink>
    </w:p>
    <w:bookmarkEnd w:id="89"/>
    <w:bookmarkStart w:id="90"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90"/>
    <w:bookmarkStart w:id="91"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91"/>
    <w:bookmarkStart w:id="92"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92"/>
    <w:bookmarkStart w:id="93"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93"/>
    <w:bookmarkStart w:id="94"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94"/>
    <w:bookmarkStart w:id="95"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95"/>
    <w:bookmarkStart w:id="96"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6"/>
    <w:bookmarkStart w:id="97" w:name="ref-DeLoache1995early"/>
    <w:p>
      <w:pPr>
        <w:pStyle w:val="Literaturverzeichnis"/>
      </w:pPr>
      <w:r>
        <w:t xml:space="preserve">DeLoache, Judy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7"/>
    <w:bookmarkStart w:id="98" w:name="ref-deloache2004becoming"/>
    <w:p>
      <w:pPr>
        <w:pStyle w:val="Literaturverzeichnis"/>
      </w:pPr>
      <w:r>
        <w:t xml:space="preserve">DeLoache, Judy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8"/>
    <w:bookmarkStart w:id="99" w:name="ref-deloache2011early"/>
    <w:p>
      <w:pPr>
        <w:pStyle w:val="Literaturverzeichnis"/>
      </w:pPr>
      <w:r>
        <w:t xml:space="preserve">DeLoache, Judy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9"/>
    <w:bookmarkStart w:id="100" w:name="ref-deloache1992picture"/>
    <w:p>
      <w:pPr>
        <w:pStyle w:val="Literaturverzeichnis"/>
      </w:pPr>
      <w:r>
        <w:t xml:space="preserve">DeLoache, Judy S., &amp; Marzolf, D. P.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100"/>
    <w:bookmarkStart w:id="101" w:name="ref-deloache1998grasping"/>
    <w:p>
      <w:pPr>
        <w:pStyle w:val="Literaturverzeichnis"/>
      </w:pPr>
      <w:r>
        <w:t xml:space="preserve">DeLoache, Judy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101"/>
    <w:bookmarkStart w:id="102"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102"/>
    <w:bookmarkStart w:id="103"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103"/>
    <w:bookmarkStart w:id="104"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104"/>
    <w:bookmarkStart w:id="105"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105"/>
    <w:bookmarkStart w:id="106"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6"/>
    <w:bookmarkStart w:id="107"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7"/>
    <w:bookmarkStart w:id="108"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8"/>
    <w:bookmarkStart w:id="109"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9"/>
    <w:bookmarkStart w:id="110"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10"/>
    <w:bookmarkStart w:id="111"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11"/>
    <w:bookmarkStart w:id="112"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12"/>
    <w:bookmarkStart w:id="113"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13"/>
    <w:bookmarkStart w:id="115"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14">
        <w:r>
          <w:rPr>
            <w:rStyle w:val="Hyperlink"/>
          </w:rPr>
          <w:t xml:space="preserve">https://doi.org/10.1080/15248370701836592</w:t>
        </w:r>
      </w:hyperlink>
    </w:p>
    <w:bookmarkEnd w:id="115"/>
    <w:bookmarkStart w:id="116"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6"/>
    <w:bookmarkStart w:id="117"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7"/>
    <w:bookmarkStart w:id="118"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8"/>
    <w:bookmarkStart w:id="119"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9"/>
    <w:bookmarkStart w:id="120"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20"/>
    <w:bookmarkStart w:id="121"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21"/>
    <w:bookmarkStart w:id="122"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22"/>
    <w:bookmarkStart w:id="123"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23"/>
    <w:bookmarkStart w:id="124" w:name="ref-gopnik1988children"/>
    <w:p>
      <w:pPr>
        <w:pStyle w:val="Literaturverzeichnis"/>
      </w:pPr>
      <w:r>
        <w:t xml:space="preserve">Gopnik, A., &amp; Astington, J. W.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24"/>
    <w:bookmarkStart w:id="125"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25"/>
    <w:bookmarkStart w:id="126"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6"/>
    <w:bookmarkStart w:id="127"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7"/>
    <w:bookmarkStart w:id="128"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8"/>
    <w:bookmarkStart w:id="129"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9"/>
    <w:bookmarkStart w:id="130"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30"/>
    <w:bookmarkStart w:id="131" w:name="ref-henrich2007humans"/>
    <w:p>
      <w:pPr>
        <w:pStyle w:val="Literaturverzeichnis"/>
      </w:pPr>
      <w:r>
        <w:t xml:space="preserve">Henrich, N., &amp; Henrich, J. P. (2007).</w:t>
      </w:r>
      <w:r>
        <w:t xml:space="preserve"> </w:t>
      </w:r>
      <w:r>
        <w:rPr>
          <w:i/>
          <w:iCs/>
        </w:rPr>
        <w:t xml:space="preserve">Why humans cooperate: A cultural and evolutionary explanation</w:t>
      </w:r>
      <w:r>
        <w:t xml:space="preserve">. Oxford University Press.</w:t>
      </w:r>
    </w:p>
    <w:bookmarkEnd w:id="131"/>
    <w:bookmarkStart w:id="132"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32"/>
    <w:bookmarkStart w:id="133"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33"/>
    <w:bookmarkStart w:id="134"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34"/>
    <w:bookmarkStart w:id="135"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35"/>
    <w:bookmarkStart w:id="136"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6"/>
    <w:bookmarkStart w:id="137"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7"/>
    <w:bookmarkStart w:id="138"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8"/>
    <w:bookmarkStart w:id="139" w:name="ref-kachelarrowsInPrep"/>
    <w:p>
      <w:pPr>
        <w:pStyle w:val="Literaturverzeichnis"/>
      </w:pPr>
      <w:r>
        <w:t xml:space="preserve">Kachel, G., Bohn, M., O’Madagain, C., &amp; Haun, D. (in prep.).</w:t>
      </w:r>
      <w:r>
        <w:t xml:space="preserve"> </w:t>
      </w:r>
      <w:r>
        <w:rPr>
          <w:i/>
          <w:iCs/>
        </w:rPr>
        <w:t xml:space="preserve">Young children’s comprehension of deixis in the graphic domain</w:t>
      </w:r>
      <w:r>
        <w:t xml:space="preserve">.</w:t>
      </w:r>
    </w:p>
    <w:bookmarkEnd w:id="139"/>
    <w:bookmarkStart w:id="140" w:name="ref-kachel_deixis_in_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40"/>
    <w:bookmarkStart w:id="141"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41"/>
    <w:bookmarkStart w:id="142"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42"/>
    <w:bookmarkStart w:id="143"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43"/>
    <w:bookmarkStart w:id="144"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44"/>
    <w:bookmarkStart w:id="145"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45"/>
    <w:bookmarkStart w:id="146"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46"/>
    <w:bookmarkStart w:id="147"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7"/>
    <w:bookmarkStart w:id="148"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8"/>
    <w:bookmarkStart w:id="149"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9"/>
    <w:bookmarkStart w:id="150"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50"/>
    <w:bookmarkStart w:id="151"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51"/>
    <w:bookmarkStart w:id="152"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52"/>
    <w:bookmarkStart w:id="153"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53"/>
    <w:bookmarkStart w:id="154"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54"/>
    <w:bookmarkStart w:id="155"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55"/>
    <w:bookmarkStart w:id="157" w:name="ref-maxwell1993bivariate"/>
    <w:p>
      <w:pPr>
        <w:pStyle w:val="Literaturverzeichnis"/>
      </w:pPr>
      <w:r>
        <w:t xml:space="preserve">Maxwell, S. E., &amp; Delaney, H. D. (1993). Bivariate median splits and spurious statistical significance.</w:t>
      </w:r>
      <w:r>
        <w:t xml:space="preserve"> </w:t>
      </w:r>
      <w:r>
        <w:rPr>
          <w:i/>
          <w:iCs/>
        </w:rPr>
        <w:t xml:space="preserve">Psychological Bulletin</w:t>
      </w:r>
      <w:r>
        <w:t xml:space="preserve">,</w:t>
      </w:r>
      <w:r>
        <w:t xml:space="preserve"> </w:t>
      </w:r>
      <w:r>
        <w:rPr>
          <w:i/>
          <w:iCs/>
        </w:rPr>
        <w:t xml:space="preserve">113</w:t>
      </w:r>
      <w:r>
        <w:t xml:space="preserve">(1), 181–190.</w:t>
      </w:r>
      <w:r>
        <w:t xml:space="preserve"> </w:t>
      </w:r>
      <w:hyperlink r:id="rId156">
        <w:r>
          <w:rPr>
            <w:rStyle w:val="Hyperlink"/>
          </w:rPr>
          <w:t xml:space="preserve">https://doi.org/10.1037/0033-2909.113.1.181</w:t>
        </w:r>
      </w:hyperlink>
    </w:p>
    <w:bookmarkEnd w:id="157"/>
    <w:bookmarkStart w:id="158"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58"/>
    <w:bookmarkStart w:id="159"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9"/>
    <w:bookmarkStart w:id="160"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60"/>
    <w:bookmarkStart w:id="161"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61"/>
    <w:bookmarkStart w:id="162"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62"/>
    <w:bookmarkStart w:id="163"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63"/>
    <w:bookmarkStart w:id="164"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64"/>
    <w:bookmarkStart w:id="165"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65"/>
    <w:bookmarkStart w:id="167"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66">
        <w:r>
          <w:rPr>
            <w:rStyle w:val="Hyperlink"/>
          </w:rPr>
          <w:t xml:space="preserve">https://books.google.de/books?id=BXrHqqUYu0QC</w:t>
        </w:r>
      </w:hyperlink>
    </w:p>
    <w:bookmarkEnd w:id="167"/>
    <w:bookmarkStart w:id="168"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68"/>
    <w:bookmarkStart w:id="169"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9"/>
    <w:bookmarkStart w:id="170"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70"/>
    <w:bookmarkStart w:id="171"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71"/>
    <w:bookmarkStart w:id="172"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72"/>
    <w:bookmarkStart w:id="173"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73"/>
    <w:bookmarkStart w:id="174"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74"/>
    <w:bookmarkStart w:id="175"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75"/>
    <w:bookmarkStart w:id="176"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76"/>
    <w:bookmarkStart w:id="177"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77"/>
    <w:bookmarkStart w:id="178"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78"/>
    <w:bookmarkStart w:id="179"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9"/>
    <w:bookmarkStart w:id="180"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80"/>
    <w:bookmarkStart w:id="182"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81">
        <w:r>
          <w:rPr>
            <w:rStyle w:val="Hyperlink"/>
          </w:rPr>
          <w:t xml:space="preserve">https://mc-stan.org/</w:t>
        </w:r>
      </w:hyperlink>
    </w:p>
    <w:bookmarkEnd w:id="182"/>
    <w:bookmarkStart w:id="183"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83"/>
    <w:bookmarkStart w:id="184"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84"/>
    <w:bookmarkStart w:id="185"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85"/>
    <w:bookmarkStart w:id="186"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86"/>
    <w:bookmarkStart w:id="187"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87"/>
    <w:bookmarkStart w:id="189"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8">
        <w:r>
          <w:rPr>
            <w:rStyle w:val="Hyperlink"/>
          </w:rPr>
          <w:t xml:space="preserve">https://doi.org/10.1002/ejsp.2015</w:t>
        </w:r>
      </w:hyperlink>
    </w:p>
    <w:bookmarkEnd w:id="189"/>
    <w:bookmarkStart w:id="190"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90"/>
    <w:bookmarkStart w:id="191"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91"/>
    <w:bookmarkStart w:id="192"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92"/>
    <w:bookmarkStart w:id="193"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93"/>
    <w:bookmarkStart w:id="194"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94"/>
    <w:bookmarkStart w:id="195"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95"/>
    <w:bookmarkStart w:id="196"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96"/>
    <w:bookmarkStart w:id="197"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97"/>
    <w:bookmarkStart w:id="198" w:name="ref-wellman2001meta"/>
    <w:p>
      <w:pPr>
        <w:pStyle w:val="Literaturverzeichnis"/>
      </w:pPr>
      <w:r>
        <w:t xml:space="preserve">Wellman, H. M.,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8"/>
    <w:bookmarkStart w:id="199"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9"/>
    <w:bookmarkStart w:id="200"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200"/>
    <w:bookmarkStart w:id="201"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201"/>
    <w:bookmarkStart w:id="203"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202">
        <w:r>
          <w:rPr>
            <w:rStyle w:val="Hyperlink"/>
          </w:rPr>
          <w:t xml:space="preserve">https://doi.org/10.1016/j.infbeh.2016.12.002</w:t>
        </w:r>
      </w:hyperlink>
    </w:p>
    <w:bookmarkEnd w:id="203"/>
    <w:bookmarkStart w:id="204"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204"/>
    <w:bookmarkStart w:id="205"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205"/>
    <w:bookmarkStart w:id="206"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206"/>
    <w:bookmarkEnd w:id="207"/>
    <w:p>
      <w:r>
        <w:br w:type="page"/>
      </w:r>
    </w:p>
    <w:bookmarkEnd w:id="208"/>
    <w:bookmarkStart w:id="217" w:name="appendix-a---participants-and-exclusions"/>
    <w:p>
      <w:pPr>
        <w:pStyle w:val="berschrift1"/>
      </w:pPr>
      <w:r>
        <w:t xml:space="preserve">Appendix A - Participants and Exclusions</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10" name="Picture"/>
            <a:graphic>
              <a:graphicData uri="http://schemas.openxmlformats.org/drawingml/2006/picture">
                <pic:pic>
                  <pic:nvPicPr>
                    <pic:cNvPr descr="../illustrations/plot_supp_participants_S123.png" id="211" name="Picture"/>
                    <pic:cNvPicPr>
                      <a:picLocks noChangeArrowheads="1" noChangeAspect="1"/>
                    </pic:cNvPicPr>
                  </pic:nvPicPr>
                  <pic:blipFill>
                    <a:blip r:embed="rId209"/>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12" w:name="fig:suppl-participants-dots"/>
      <w:bookmarkEnd w:id="212"/>
      <w:r>
        <w:rPr>
          <w:i/>
          <w:iCs/>
        </w:rPr>
        <w:t xml:space="preserve">Figure</w:t>
      </w:r>
      <w:r>
        <w:t xml:space="preserve"> </w:t>
      </w:r>
      <w:r>
        <w:t xml:space="preserve">5. Distribution of Participants across the age-range in all three studies. Dots represent individuals. Colors indicate their respective sex.</w:t>
      </w:r>
    </w:p>
    <w:p>
      <w:pPr>
        <w:pStyle w:val="CaptionedFigure"/>
      </w:pPr>
      <w:r>
        <w:drawing>
          <wp:inline>
            <wp:extent cx="4178300" cy="2438725"/>
            <wp:effectExtent b="0" l="0" r="0" t="0"/>
            <wp:docPr descr="Figure 6: Distribution of Exclusions across the age-range in all three studies. Dots represent individuals. Colors indicate why children where not submitted to analyses." title="" id="214" name="Picture"/>
            <a:graphic>
              <a:graphicData uri="http://schemas.openxmlformats.org/drawingml/2006/picture">
                <pic:pic>
                  <pic:nvPicPr>
                    <pic:cNvPr descr="../illustrations/plot_supp_exclusions_S123.png" id="215" name="Picture"/>
                    <pic:cNvPicPr>
                      <a:picLocks noChangeArrowheads="1" noChangeAspect="1"/>
                    </pic:cNvPicPr>
                  </pic:nvPicPr>
                  <pic:blipFill>
                    <a:blip r:embed="rId213"/>
                    <a:stretch>
                      <a:fillRect/>
                    </a:stretch>
                  </pic:blipFill>
                  <pic:spPr bwMode="auto">
                    <a:xfrm>
                      <a:off x="0" y="0"/>
                      <a:ext cx="4178300" cy="2438725"/>
                    </a:xfrm>
                    <a:prstGeom prst="rect">
                      <a:avLst/>
                    </a:prstGeom>
                    <a:noFill/>
                    <a:ln w="9525">
                      <a:noFill/>
                      <a:headEnd/>
                      <a:tailEnd/>
                    </a:ln>
                  </pic:spPr>
                </pic:pic>
              </a:graphicData>
            </a:graphic>
          </wp:inline>
        </w:drawing>
      </w:r>
    </w:p>
    <w:p>
      <w:pPr>
        <w:pStyle w:val="ImageCaption"/>
      </w:pPr>
      <w:bookmarkStart w:id="216" w:name="fig:suppl-exclusions-dots"/>
      <w:bookmarkEnd w:id="216"/>
      <w:r>
        <w:rPr>
          <w:i/>
          <w:iCs/>
        </w:rPr>
        <w:t xml:space="preserve">Figure</w:t>
      </w:r>
      <w:r>
        <w:t xml:space="preserve"> </w:t>
      </w:r>
      <w:r>
        <w:t xml:space="preserve">6. Distribution of Exclusions across the age-range in all three studies. Dots represent individuals. Colors indicate why children where not submitted to analyses.</w:t>
      </w:r>
    </w:p>
    <w:p>
      <w:r>
        <w:br w:type="page"/>
      </w:r>
    </w:p>
    <w:bookmarkEnd w:id="217"/>
    <w:bookmarkStart w:id="224" w:name="appendix-c---results"/>
    <w:p>
      <w:pPr>
        <w:pStyle w:val="berschrift1"/>
      </w:pPr>
      <w:r>
        <w:t xml:space="preserve">Appendix C - Results</w:t>
      </w:r>
    </w:p>
    <w:p>
      <w:pPr>
        <w:pStyle w:val="TableCaption"/>
      </w:pPr>
      <w:bookmarkStart w:id="218" w:name="tab:suppl-S1-coef-table"/>
      <w:bookmarkEnd w:id="218"/>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9" w:name="tab:suppl-descriptives-S1"/>
      <w:bookmarkEnd w:id="219"/>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20" w:name="tab:suppl-S2-coef-table"/>
      <w:bookmarkEnd w:id="220"/>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1" w:name="tab:suppl-descriptives-S2"/>
      <w:bookmarkEnd w:id="221"/>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22" w:name="tab:suppl-S3-coef-table"/>
      <w:bookmarkEnd w:id="222"/>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3" w:name="tab:suppl-descriptives-S3"/>
      <w:bookmarkEnd w:id="223"/>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bookmarkEnd w:id="224"/>
    <w:bookmarkStart w:id="232" w:name="appendix-e---additional-analyses"/>
    <w:p>
      <w:pPr>
        <w:pStyle w:val="berschrift1"/>
      </w:pPr>
      <w:r>
        <w:t xml:space="preserve">Appendix E - Additional Analyses</w:t>
      </w:r>
    </w:p>
    <w:p>
      <w:pPr>
        <w:pStyle w:val="FirstParagraph"/>
      </w:pPr>
      <w:r>
        <w:t xml:space="preserve">In order to evaluate the equivalence of the items used in each experimental condition, we conducted an additional exploratory analysis to include a random effect for item level effects (Model notation</w:t>
      </w:r>
      <w:r>
        <w:t xml:space="preserve"> </w:t>
      </w:r>
      <w:r>
        <w:rPr>
          <w:rStyle w:val="VerbatimChar"/>
        </w:rPr>
        <w:t xml:space="preserve">correct ~ condition*z.age +z.trial +z.sex +(z.trial|id) +(z.age|item)</w:t>
      </w:r>
      <w:r>
        <w:t xml:space="preserve">). All three studies featured four conditions with four items each. Each item corresponds to a way of instantiating the type of symbol-referent-relationship addressed by the respective condition. Below we report the results for each study seperately.</w:t>
      </w:r>
    </w:p>
    <w:bookmarkStart w:id="225" w:name="study-1-2"/>
    <w:p>
      <w:pPr>
        <w:pStyle w:val="berschrift2"/>
      </w:pPr>
      <w:r>
        <w:t xml:space="preserve">Study 1</w:t>
      </w:r>
    </w:p>
    <w:p>
      <w:pPr>
        <w:pStyle w:val="FirstParagraph"/>
      </w:pPr>
      <w:r>
        <w:t xml:space="preserve">Smaller random-effect SDs, with wide CIs near zero → item-level variation is weaker and could even be negligible.</w:t>
      </w:r>
    </w:p>
    <w:p>
      <w:pPr>
        <w:pStyle w:val="Textkrper"/>
      </w:pPr>
      <w:r>
        <w:t xml:space="preserve">Correlation between intercept and age slope is highly uncertain.</w:t>
      </w:r>
    </w:p>
    <w:p>
      <w:pPr>
        <w:pStyle w:val="Textkrper"/>
      </w:pPr>
      <w:r>
        <w:t xml:space="preserve">Suggests that items as a grouping factor may not explain much additional variation.</w:t>
      </w:r>
    </w:p>
    <w:p>
      <w:pPr>
        <w:pStyle w:val="Textkrper"/>
      </w:pPr>
      <w:r>
        <w:t xml:space="preserve">sd(Intercept) = 0.16 [0.01, 0.40] –&gt; Items differ slightly in baseline difficulty,</w:t>
      </w:r>
      <w:r>
        <w:br/>
      </w:r>
      <w:r>
        <w:t xml:space="preserve">0.16 log-odds corresponds to ~4 percentage points of accuracy –&gt; effect of item is small</w:t>
      </w:r>
    </w:p>
    <w:p>
      <w:pPr>
        <w:pStyle w:val="Textkrper"/>
      </w:pPr>
      <w:r>
        <w:t xml:space="preserve">sd(z.age) = 0.14 [0.01, 0.34] –&gt; modest variation across items in how strongly it interacts with age.</w:t>
      </w:r>
      <w:r>
        <w:t xml:space="preserve"> </w:t>
      </w:r>
      <w:r>
        <w:t xml:space="preserve">effect size is small: ±0.14 log-odds ≈ ±3–4 percentage points per 1 SD in age.</w:t>
      </w:r>
    </w:p>
    <w:p>
      <w:pPr>
        <w:pStyle w:val="Textkrper"/>
      </w:pPr>
      <w:r>
        <w:t xml:space="preserve">cor(Intercept, z.age) = 0.35 [-0.84, 0.98] → uncertain. there is no clear age effect for slightly easier or slightly more difficult items</w:t>
      </w:r>
    </w:p>
    <w:p>
      <w:pPr>
        <w:pStyle w:val="Textkrper"/>
      </w:pPr>
      <w:r>
        <w:t xml:space="preserve">SUMMARY: Item-level effects are relatively small. Items are fairly homogeneous.</w:t>
      </w:r>
    </w:p>
    <w:p>
      <w:pPr>
        <w:pStyle w:val="Textkrper"/>
      </w:pPr>
      <w:r>
        <w:t xml:space="preserve">Model comp full model and item model</w:t>
      </w:r>
    </w:p>
    <w:p>
      <w:pPr>
        <w:pStyle w:val="Textkrper"/>
      </w:pPr>
      <w:r>
        <w:t xml:space="preserve">The two models have virtually identical predictive performance.</w:t>
      </w:r>
    </w:p>
    <w:p>
      <w:pPr>
        <w:pStyle w:val="Textkrper"/>
      </w:pPr>
      <w:r>
        <w:t xml:space="preserve">The difference in WAIC (≈ 1.6) is tiny compared to its uncertainty (SE ≈ 39).</w:t>
      </w:r>
    </w:p>
    <w:p>
      <w:pPr>
        <w:pStyle w:val="Textkrper"/>
      </w:pPr>
      <w:r>
        <w:t xml:space="preserve">The elpd_diff is well within one standard error of zero, meaning there’s no credible evidence that adding item-level random effects improves or harms predictive accuracy.</w:t>
      </w:r>
    </w:p>
    <w:p>
      <w:pPr>
        <w:pStyle w:val="Textkrper"/>
      </w:pPr>
      <w:r>
        <w:t xml:space="preserve">Notice that S1.item.model has a higher p_waic (88.5 vs. 80.5) → it’s a more complex model (greater effective number of parameters), but that complexity does not translate into better predictive fit.</w:t>
      </w:r>
    </w:p>
    <w:bookmarkEnd w:id="225"/>
    <w:bookmarkStart w:id="226" w:name="study-2-2"/>
    <w:p>
      <w:pPr>
        <w:pStyle w:val="berschrift2"/>
      </w:pPr>
      <w:r>
        <w:t xml:space="preserve">Study 2</w:t>
      </w:r>
    </w:p>
    <w:p>
      <w:pPr>
        <w:pStyle w:val="FirstParagraph"/>
      </w:pPr>
      <w:r>
        <w:t xml:space="preserve">Additional Tables and illustrations for the convenience of the reader. Add illustrations they said; it will add value they said.</w:t>
      </w:r>
    </w:p>
    <w:bookmarkEnd w:id="226"/>
    <w:bookmarkStart w:id="231" w:name="study-3-2"/>
    <w:p>
      <w:pPr>
        <w:pStyle w:val="berschrift2"/>
      </w:pPr>
      <w:r>
        <w:t xml:space="preserve">Study 3</w:t>
      </w:r>
    </w:p>
    <w:p>
      <w:pPr>
        <w:pStyle w:val="FirstParagraph"/>
      </w:pPr>
      <w:r>
        <w:t xml:space="preserve">Additional Tables and illustrations for the convenience of the reader. Add illustrations they said; it will add value they said.</w:t>
      </w:r>
    </w:p>
    <w:p>
      <w:r>
        <w:br w:type="page"/>
      </w:r>
    </w:p>
    <w:p>
      <w:pPr>
        <w:pStyle w:val="CaptionedFigure"/>
      </w:pPr>
      <w:r>
        <w:drawing>
          <wp:inline>
            <wp:extent cx="5849620" cy="7544578"/>
            <wp:effectExtent b="0" l="0" r="0" t="0"/>
            <wp:docPr descr="Figure 7: Item-Level Random Intercepts by Condition And some additional text here for explanation" title="" id="228" name="Picture"/>
            <a:graphic>
              <a:graphicData uri="http://schemas.openxmlformats.org/drawingml/2006/picture">
                <pic:pic>
                  <pic:nvPicPr>
                    <pic:cNvPr descr="../illustrations/S1S2S3_item_plot.png" id="229" name="Picture"/>
                    <pic:cNvPicPr>
                      <a:picLocks noChangeArrowheads="1" noChangeAspect="1"/>
                    </pic:cNvPicPr>
                  </pic:nvPicPr>
                  <pic:blipFill>
                    <a:blip r:embed="rId227"/>
                    <a:stretch>
                      <a:fillRect/>
                    </a:stretch>
                  </pic:blipFill>
                  <pic:spPr bwMode="auto">
                    <a:xfrm>
                      <a:off x="0" y="0"/>
                      <a:ext cx="5849620" cy="7544578"/>
                    </a:xfrm>
                    <a:prstGeom prst="rect">
                      <a:avLst/>
                    </a:prstGeom>
                    <a:noFill/>
                    <a:ln w="9525">
                      <a:noFill/>
                      <a:headEnd/>
                      <a:tailEnd/>
                    </a:ln>
                  </pic:spPr>
                </pic:pic>
              </a:graphicData>
            </a:graphic>
          </wp:inline>
        </w:drawing>
      </w:r>
    </w:p>
    <w:p>
      <w:pPr>
        <w:pStyle w:val="ImageCaption"/>
      </w:pPr>
      <w:bookmarkStart w:id="230" w:name="fig:plot-study1itemintercepts"/>
      <w:bookmarkEnd w:id="230"/>
      <w:r>
        <w:rPr>
          <w:i/>
          <w:iCs/>
        </w:rPr>
        <w:t xml:space="preserve">Figure</w:t>
      </w:r>
      <w:r>
        <w:t xml:space="preserve"> </w:t>
      </w:r>
      <w:r>
        <w:t xml:space="preserve">7.</w:t>
      </w:r>
      <w:r>
        <w:t xml:space="preserve"> </w:t>
      </w:r>
      <w:r>
        <w:rPr>
          <w:i/>
          <w:iCs/>
        </w:rPr>
        <w:t xml:space="preserve">Item-Level Random Intercepts by Condition</w:t>
      </w:r>
      <w:r>
        <w:t xml:space="preserve"> </w:t>
      </w:r>
      <w:r>
        <w:t xml:space="preserve">And some additional text here for explanation</w:t>
      </w:r>
    </w:p>
    <w:bookmarkEnd w:id="231"/>
    <w:bookmarkEnd w:id="232"/>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227" Target="media/rId227.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13" Target="media/rId213.png" /><Relationship Type="http://schemas.openxmlformats.org/officeDocument/2006/relationships/image" Id="rId209" Target="media/rId209.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66" Target="https://books.google.de/books?id=BXrHqqUYu0QC" TargetMode="External" /><Relationship Type="http://schemas.openxmlformats.org/officeDocument/2006/relationships/hyperlink" Id="rId80" Target="https://doi.org/10.1002/9781118963418.childpsy207" TargetMode="External" /><Relationship Type="http://schemas.openxmlformats.org/officeDocument/2006/relationships/hyperlink" Id="rId188" Target="https://doi.org/10.1002/ejsp.2015" TargetMode="External" /><Relationship Type="http://schemas.openxmlformats.org/officeDocument/2006/relationships/hyperlink" Id="rId202" Target="https://doi.org/10.1016/j.infbeh.2016.12.002" TargetMode="External" /><Relationship Type="http://schemas.openxmlformats.org/officeDocument/2006/relationships/hyperlink" Id="rId156" Target="https://doi.org/10.1037/0033-2909.113.1.181" TargetMode="External" /><Relationship Type="http://schemas.openxmlformats.org/officeDocument/2006/relationships/hyperlink" Id="rId114" Target="https://doi.org/10.1080/15248370701836592" TargetMode="External" /><Relationship Type="http://schemas.openxmlformats.org/officeDocument/2006/relationships/hyperlink" Id="rId88" Target="https://doi.org/10.1177/014662168300700301" TargetMode="External" /><Relationship Type="http://schemas.openxmlformats.org/officeDocument/2006/relationships/hyperlink" Id="rId181"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66" Target="https://books.google.de/books?id=BXrHqqUYu0QC" TargetMode="External" /><Relationship Type="http://schemas.openxmlformats.org/officeDocument/2006/relationships/hyperlink" Id="rId80" Target="https://doi.org/10.1002/9781118963418.childpsy207" TargetMode="External" /><Relationship Type="http://schemas.openxmlformats.org/officeDocument/2006/relationships/hyperlink" Id="rId188" Target="https://doi.org/10.1002/ejsp.2015" TargetMode="External" /><Relationship Type="http://schemas.openxmlformats.org/officeDocument/2006/relationships/hyperlink" Id="rId202" Target="https://doi.org/10.1016/j.infbeh.2016.12.002" TargetMode="External" /><Relationship Type="http://schemas.openxmlformats.org/officeDocument/2006/relationships/hyperlink" Id="rId156" Target="https://doi.org/10.1037/0033-2909.113.1.181" TargetMode="External" /><Relationship Type="http://schemas.openxmlformats.org/officeDocument/2006/relationships/hyperlink" Id="rId114" Target="https://doi.org/10.1080/15248370701836592" TargetMode="External" /><Relationship Type="http://schemas.openxmlformats.org/officeDocument/2006/relationships/hyperlink" Id="rId88" Target="https://doi.org/10.1177/014662168300700301" TargetMode="External" /><Relationship Type="http://schemas.openxmlformats.org/officeDocument/2006/relationships/hyperlink" Id="rId181"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2025-09-12T13:55:32Z</dcterms:created>
  <dcterms:modified xsi:type="dcterms:W3CDTF">2025-09-12T13:55:32Z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URL XXX Repo 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